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7" w:rsidRPr="00A90197" w:rsidRDefault="00A90197" w:rsidP="00A90197">
      <w:pPr>
        <w:widowControl/>
        <w:spacing w:afterLines="100" w:after="312" w:line="380" w:lineRule="exact"/>
        <w:jc w:val="center"/>
        <w:rPr>
          <w:rFonts w:ascii="宋体" w:eastAsia="宋体" w:hAnsi="宋体" w:cs="宋体"/>
          <w:kern w:val="0"/>
          <w:sz w:val="24"/>
          <w:szCs w:val="24"/>
        </w:rPr>
      </w:pPr>
      <w:r w:rsidRPr="00A90197">
        <w:rPr>
          <w:rFonts w:ascii="Times New Roman" w:eastAsia="宋体" w:hAnsi="Times New Roman" w:cs="宋体" w:hint="eastAsia"/>
          <w:b/>
          <w:kern w:val="0"/>
          <w:sz w:val="36"/>
          <w:szCs w:val="36"/>
        </w:rPr>
        <w:t>国家安全监管总局办公厅关于印发</w:t>
      </w:r>
    </w:p>
    <w:p w:rsidR="00A90197" w:rsidRPr="00A90197" w:rsidRDefault="00A90197" w:rsidP="00A90197">
      <w:pPr>
        <w:widowControl/>
        <w:spacing w:afterLines="100" w:after="312" w:line="380" w:lineRule="exact"/>
        <w:jc w:val="center"/>
        <w:rPr>
          <w:rFonts w:ascii="宋体" w:eastAsia="宋体" w:hAnsi="宋体" w:cs="宋体"/>
          <w:kern w:val="0"/>
          <w:sz w:val="24"/>
          <w:szCs w:val="24"/>
        </w:rPr>
      </w:pPr>
      <w:r w:rsidRPr="00A90197">
        <w:rPr>
          <w:rFonts w:ascii="Times New Roman" w:eastAsia="宋体" w:hAnsi="Times New Roman" w:cs="宋体" w:hint="eastAsia"/>
          <w:b/>
          <w:kern w:val="0"/>
          <w:sz w:val="36"/>
          <w:szCs w:val="36"/>
        </w:rPr>
        <w:t>用人单位职业病危害告知与警示标识管理规范的通知</w:t>
      </w:r>
    </w:p>
    <w:p w:rsidR="00A90197" w:rsidRPr="00A90197" w:rsidRDefault="00A90197" w:rsidP="00A90197">
      <w:pPr>
        <w:widowControl/>
        <w:spacing w:afterLines="100" w:after="312" w:line="380" w:lineRule="exact"/>
        <w:jc w:val="center"/>
        <w:rPr>
          <w:rFonts w:ascii="宋体" w:eastAsia="宋体" w:hAnsi="宋体" w:cs="宋体"/>
          <w:kern w:val="0"/>
          <w:sz w:val="24"/>
          <w:szCs w:val="24"/>
        </w:rPr>
      </w:pPr>
      <w:r w:rsidRPr="00A90197">
        <w:rPr>
          <w:rFonts w:ascii="楷体_GB2312" w:eastAsia="楷体_GB2312" w:hAnsi="宋体" w:cs="宋体" w:hint="eastAsia"/>
          <w:kern w:val="0"/>
          <w:sz w:val="24"/>
          <w:szCs w:val="24"/>
        </w:rPr>
        <w:t>安</w:t>
      </w:r>
      <w:proofErr w:type="gramStart"/>
      <w:r w:rsidRPr="00A90197">
        <w:rPr>
          <w:rFonts w:ascii="楷体_GB2312" w:eastAsia="楷体_GB2312" w:hAnsi="宋体" w:cs="宋体" w:hint="eastAsia"/>
          <w:kern w:val="0"/>
          <w:sz w:val="24"/>
          <w:szCs w:val="24"/>
        </w:rPr>
        <w:t>监总厅安</w:t>
      </w:r>
      <w:proofErr w:type="gramEnd"/>
      <w:r w:rsidRPr="00A90197">
        <w:rPr>
          <w:rFonts w:ascii="楷体_GB2312" w:eastAsia="楷体_GB2312" w:hAnsi="宋体" w:cs="宋体" w:hint="eastAsia"/>
          <w:kern w:val="0"/>
          <w:sz w:val="24"/>
          <w:szCs w:val="24"/>
        </w:rPr>
        <w:t>健〔2014〕111号</w:t>
      </w:r>
    </w:p>
    <w:p w:rsidR="00A90197" w:rsidRPr="00A90197" w:rsidRDefault="00A90197" w:rsidP="00A90197">
      <w:pPr>
        <w:widowControl/>
        <w:spacing w:afterLines="100" w:after="312" w:line="380" w:lineRule="exact"/>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各省、自治区、直辖市及新疆生产建设兵团安全生产监督管理局：</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为指导和规范用人单位做好职业病危害告知与警示标识管理工作，依照《中华人民共和国职业病防治法》、《工作场所职业卫生监督管理规定》（国家安全监管总局令第</w:t>
      </w:r>
      <w:r w:rsidRPr="00A90197">
        <w:rPr>
          <w:rFonts w:ascii="Times New Roman" w:eastAsia="宋体" w:hAnsi="Times New Roman" w:cs="Times New Roman"/>
          <w:kern w:val="0"/>
          <w:sz w:val="24"/>
          <w:szCs w:val="24"/>
        </w:rPr>
        <w:t>47</w:t>
      </w:r>
      <w:r w:rsidRPr="00A90197">
        <w:rPr>
          <w:rFonts w:ascii="Times New Roman" w:eastAsia="宋体" w:hAnsi="Times New Roman" w:cs="宋体" w:hint="eastAsia"/>
          <w:kern w:val="0"/>
          <w:sz w:val="24"/>
          <w:szCs w:val="24"/>
        </w:rPr>
        <w:t>号）等法律规章，国家安全监管总局制定了《用人单位职业病危害告知与警示标识管理规范》（以下简称《规范》），现印发给你们，请认真贯彻落实。</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职业病危害告知与警示标识管理工作是职业卫生管理的一项基础性工作，对于提高劳动者的自我防护意识、提升用人单位职业病防治水平具有重要作用。各地区要高度重视，认真安排部署，做好《规范》的宣传和落实工作。</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各单位要通过多种方式组织用人单位学习《规范》，指导用人单位对职业病危害告知与警示标识管理工作进行一次全面自查，并按照《规范》要求完善职业病危害告知内容及档案材料，设置和维护好警示标识，保障劳动者的职业健康。</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要把贯彻落实《规范》要求作为职业卫生监督执法的重要内容，指导用人单位落实职业病危害告知与警示标识管理各项要求，对拒不整改或整改不到位的用人单位，依法予以惩处，确保按期完成《国家职业病防治规划（</w:t>
      </w:r>
      <w:r w:rsidRPr="00A90197">
        <w:rPr>
          <w:rFonts w:ascii="Times New Roman" w:eastAsia="宋体" w:hAnsi="Times New Roman" w:cs="Times New Roman"/>
          <w:kern w:val="0"/>
          <w:sz w:val="24"/>
          <w:szCs w:val="24"/>
        </w:rPr>
        <w:t>2009-2015</w:t>
      </w:r>
      <w:r w:rsidRPr="00A90197">
        <w:rPr>
          <w:rFonts w:ascii="Times New Roman" w:eastAsia="宋体" w:hAnsi="Times New Roman" w:cs="宋体" w:hint="eastAsia"/>
          <w:kern w:val="0"/>
          <w:sz w:val="24"/>
          <w:szCs w:val="24"/>
        </w:rPr>
        <w:t>年）》确定的</w:t>
      </w:r>
      <w:r w:rsidRPr="00A90197">
        <w:rPr>
          <w:rFonts w:ascii="Times New Roman" w:eastAsia="宋体" w:hAnsi="Times New Roman" w:cs="Times New Roman"/>
          <w:kern w:val="0"/>
          <w:sz w:val="24"/>
          <w:szCs w:val="24"/>
        </w:rPr>
        <w:t>2015</w:t>
      </w:r>
      <w:r w:rsidRPr="00A90197">
        <w:rPr>
          <w:rFonts w:ascii="Times New Roman" w:eastAsia="宋体" w:hAnsi="Times New Roman" w:cs="宋体" w:hint="eastAsia"/>
          <w:kern w:val="0"/>
          <w:sz w:val="24"/>
          <w:szCs w:val="24"/>
        </w:rPr>
        <w:t>年职业病危害告知率和警示标识设置率达到</w:t>
      </w:r>
      <w:r w:rsidRPr="00A90197">
        <w:rPr>
          <w:rFonts w:ascii="Times New Roman" w:eastAsia="宋体" w:hAnsi="Times New Roman" w:cs="Times New Roman"/>
          <w:kern w:val="0"/>
          <w:sz w:val="24"/>
          <w:szCs w:val="24"/>
        </w:rPr>
        <w:t>90%</w:t>
      </w:r>
      <w:r w:rsidRPr="00A90197">
        <w:rPr>
          <w:rFonts w:ascii="Times New Roman" w:eastAsia="宋体" w:hAnsi="Times New Roman" w:cs="宋体" w:hint="eastAsia"/>
          <w:kern w:val="0"/>
          <w:sz w:val="24"/>
          <w:szCs w:val="24"/>
        </w:rPr>
        <w:t>以上的目标。</w:t>
      </w:r>
    </w:p>
    <w:p w:rsidR="00A90197" w:rsidRPr="00A90197" w:rsidRDefault="00A90197" w:rsidP="00A90197">
      <w:pPr>
        <w:widowControl/>
        <w:spacing w:afterLines="100" w:after="312" w:line="380" w:lineRule="exact"/>
        <w:ind w:firstLineChars="200" w:firstLine="480"/>
        <w:jc w:val="right"/>
        <w:rPr>
          <w:rFonts w:ascii="宋体" w:eastAsia="宋体" w:hAnsi="宋体" w:cs="宋体"/>
          <w:kern w:val="0"/>
          <w:sz w:val="24"/>
          <w:szCs w:val="24"/>
        </w:rPr>
      </w:pPr>
      <w:r w:rsidRPr="00A90197">
        <w:rPr>
          <w:rFonts w:ascii="Times New Roman" w:eastAsia="宋体" w:hAnsi="Times New Roman" w:cs="宋体" w:hint="eastAsia"/>
          <w:kern w:val="0"/>
          <w:sz w:val="24"/>
          <w:szCs w:val="24"/>
        </w:rPr>
        <w:t>国家安全监管总局办公厅</w:t>
      </w:r>
    </w:p>
    <w:p w:rsidR="00A90197" w:rsidRPr="00A90197" w:rsidRDefault="00A90197" w:rsidP="00A90197">
      <w:pPr>
        <w:widowControl/>
        <w:spacing w:afterLines="100" w:after="312" w:line="380" w:lineRule="exact"/>
        <w:ind w:firstLineChars="200" w:firstLine="480"/>
        <w:jc w:val="right"/>
        <w:rPr>
          <w:rFonts w:ascii="宋体" w:eastAsia="宋体" w:hAnsi="宋体" w:cs="宋体"/>
          <w:kern w:val="0"/>
          <w:sz w:val="24"/>
          <w:szCs w:val="24"/>
        </w:rPr>
      </w:pPr>
      <w:r w:rsidRPr="00A90197">
        <w:rPr>
          <w:rFonts w:ascii="Times New Roman" w:eastAsia="宋体" w:hAnsi="Times New Roman" w:cs="Times New Roman"/>
          <w:kern w:val="0"/>
          <w:sz w:val="24"/>
          <w:szCs w:val="24"/>
        </w:rPr>
        <w:t xml:space="preserve">     2014</w:t>
      </w:r>
      <w:r w:rsidRPr="00A90197">
        <w:rPr>
          <w:rFonts w:ascii="Times New Roman" w:eastAsia="宋体" w:hAnsi="Times New Roman" w:cs="宋体" w:hint="eastAsia"/>
          <w:kern w:val="0"/>
          <w:sz w:val="24"/>
          <w:szCs w:val="24"/>
        </w:rPr>
        <w:t>年</w:t>
      </w:r>
      <w:r w:rsidRPr="00A90197">
        <w:rPr>
          <w:rFonts w:ascii="Times New Roman" w:eastAsia="宋体" w:hAnsi="Times New Roman" w:cs="Times New Roman"/>
          <w:kern w:val="0"/>
          <w:sz w:val="24"/>
          <w:szCs w:val="24"/>
        </w:rPr>
        <w:t>11</w:t>
      </w:r>
      <w:r w:rsidRPr="00A90197">
        <w:rPr>
          <w:rFonts w:ascii="Times New Roman" w:eastAsia="宋体" w:hAnsi="Times New Roman" w:cs="宋体" w:hint="eastAsia"/>
          <w:kern w:val="0"/>
          <w:sz w:val="24"/>
          <w:szCs w:val="24"/>
        </w:rPr>
        <w:t>月</w:t>
      </w:r>
      <w:r w:rsidRPr="00A90197">
        <w:rPr>
          <w:rFonts w:ascii="Times New Roman" w:eastAsia="宋体" w:hAnsi="Times New Roman" w:cs="Times New Roman"/>
          <w:kern w:val="0"/>
          <w:sz w:val="24"/>
          <w:szCs w:val="24"/>
        </w:rPr>
        <w:t>13</w:t>
      </w:r>
      <w:r w:rsidRPr="00A90197">
        <w:rPr>
          <w:rFonts w:ascii="Times New Roman" w:eastAsia="宋体" w:hAnsi="Times New Roman" w:cs="宋体" w:hint="eastAsia"/>
          <w:kern w:val="0"/>
          <w:sz w:val="24"/>
          <w:szCs w:val="24"/>
        </w:rPr>
        <w:t>日</w:t>
      </w:r>
    </w:p>
    <w:p w:rsidR="00A90197" w:rsidRPr="00A90197" w:rsidRDefault="00A90197" w:rsidP="00A90197">
      <w:pPr>
        <w:widowControl/>
        <w:spacing w:afterLines="100" w:after="312" w:line="380" w:lineRule="exact"/>
        <w:jc w:val="center"/>
        <w:rPr>
          <w:rFonts w:ascii="宋体" w:eastAsia="宋体" w:hAnsi="宋体" w:cs="宋体"/>
          <w:kern w:val="0"/>
          <w:sz w:val="24"/>
          <w:szCs w:val="24"/>
        </w:rPr>
      </w:pPr>
      <w:bookmarkStart w:id="0" w:name="_GoBack"/>
      <w:r w:rsidRPr="00A90197">
        <w:rPr>
          <w:rFonts w:ascii="Times New Roman" w:eastAsia="宋体" w:hAnsi="Times New Roman" w:cs="宋体" w:hint="eastAsia"/>
          <w:b/>
          <w:kern w:val="0"/>
          <w:sz w:val="36"/>
          <w:szCs w:val="36"/>
        </w:rPr>
        <w:t>用人单位职业病危害告知与警示标识管理规范</w:t>
      </w:r>
    </w:p>
    <w:bookmarkEnd w:id="0"/>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宋体" w:hint="eastAsia"/>
          <w:b/>
          <w:bCs/>
          <w:kern w:val="0"/>
          <w:sz w:val="24"/>
          <w:szCs w:val="24"/>
        </w:rPr>
        <w:t>第一章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总则</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第一条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为规范用人单位职业病危害告知与警示标识管理工作，预防和控制职业病危害，保障劳动者职业健康，根据《中华人民共和国职业病防治法》、《工作场所职业卫生监督管理规定》（国家安全监管总局令第</w:t>
      </w:r>
      <w:r w:rsidRPr="00A90197">
        <w:rPr>
          <w:rFonts w:ascii="Times New Roman" w:eastAsia="宋体" w:hAnsi="Times New Roman" w:cs="Times New Roman"/>
          <w:kern w:val="0"/>
          <w:sz w:val="24"/>
          <w:szCs w:val="24"/>
        </w:rPr>
        <w:t>47</w:t>
      </w:r>
      <w:r w:rsidRPr="00A90197">
        <w:rPr>
          <w:rFonts w:ascii="Times New Roman" w:eastAsia="宋体" w:hAnsi="Times New Roman" w:cs="宋体" w:hint="eastAsia"/>
          <w:kern w:val="0"/>
          <w:sz w:val="24"/>
          <w:szCs w:val="24"/>
        </w:rPr>
        <w:t>号）以及《工作场所职业病</w:t>
      </w:r>
      <w:r w:rsidRPr="00A90197">
        <w:rPr>
          <w:rFonts w:ascii="Times New Roman" w:eastAsia="宋体" w:hAnsi="Times New Roman" w:cs="宋体" w:hint="eastAsia"/>
          <w:kern w:val="0"/>
          <w:sz w:val="24"/>
          <w:szCs w:val="24"/>
        </w:rPr>
        <w:lastRenderedPageBreak/>
        <w:t>危害警示标识》（</w:t>
      </w:r>
      <w:r w:rsidRPr="00A90197">
        <w:rPr>
          <w:rFonts w:ascii="Times New Roman" w:eastAsia="宋体" w:hAnsi="Times New Roman" w:cs="Times New Roman"/>
          <w:kern w:val="0"/>
          <w:sz w:val="24"/>
          <w:szCs w:val="24"/>
        </w:rPr>
        <w:t>GBZ 158</w:t>
      </w:r>
      <w:r w:rsidRPr="00A90197">
        <w:rPr>
          <w:rFonts w:ascii="Times New Roman" w:eastAsia="宋体" w:hAnsi="Times New Roman" w:cs="宋体" w:hint="eastAsia"/>
          <w:kern w:val="0"/>
          <w:sz w:val="24"/>
          <w:szCs w:val="24"/>
        </w:rPr>
        <w:t>）、《高毒物品作业岗位职业病危害告知规范》（</w:t>
      </w:r>
      <w:r w:rsidRPr="00A90197">
        <w:rPr>
          <w:rFonts w:ascii="Times New Roman" w:eastAsia="宋体" w:hAnsi="Times New Roman" w:cs="Times New Roman"/>
          <w:kern w:val="0"/>
          <w:sz w:val="24"/>
          <w:szCs w:val="24"/>
        </w:rPr>
        <w:t>GBZ/T203</w:t>
      </w:r>
      <w:r w:rsidRPr="00A90197">
        <w:rPr>
          <w:rFonts w:ascii="Times New Roman" w:eastAsia="宋体" w:hAnsi="Times New Roman" w:cs="宋体" w:hint="eastAsia"/>
          <w:kern w:val="0"/>
          <w:sz w:val="24"/>
          <w:szCs w:val="24"/>
        </w:rPr>
        <w:t>）等法律、规章和标准，制定本规范。</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职业病危害告知是指用人单位通过与劳动者签订劳动合同、公告、培训等方式，使劳动者知晓工作场所产生或存在的职业病危害因素、防护措施、对健康的影响以及健康检查结果等的行为。职业病危害警示标识是指在工作场所中设置的可以提醒劳动者对职业病危害产生警觉并采取相应防护措施的图形标识、警示线、警示语句和文字说明以及组合使用的标识等。</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本规范所指的劳动者包括用人单位的合同制、聘用制、劳务派遣等性质的劳动者。</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用人单位应当依法开展工作场所职业病危害因素检测评价，识别分析工作过程中可能产生或存在的职业病危害因素。</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第四条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用人单位应将工作场所可能产生的职业病危害如实告知劳动者，在醒目位置设置职业病防治公告栏，并在可能产生严重职业病危害的作业岗位以及产生职业病危害的设备、材料、贮存场所等设置警示标识。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第五条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用人单位应当依法开展职业卫生培训，使劳动者了解警示标识的含义，并针对警示的职业病危害因素采取有效的防护措施。</w:t>
      </w:r>
    </w:p>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宋体" w:hint="eastAsia"/>
          <w:b/>
          <w:bCs/>
          <w:kern w:val="0"/>
          <w:sz w:val="24"/>
          <w:szCs w:val="24"/>
        </w:rPr>
        <w:t>第二章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职业病危害告知</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第六条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产生职业病危害的用人单位应将工作过程中可能接触的职业病危害因素的种类、危害程度、危害后果、提供的职业病防护设施、个人使用的职业病防护用品、职业健康检查和相关待遇等如实告知劳动者，不得隐瞒或者欺骗。</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第七条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与劳动者订立劳动合同（含聘用合同，下同）时，应当在劳动合同中写明工作过程可能产生的职业病危害及其后果、职业病危害防护措施和待遇（岗位津贴、工伤保险等）等内容。同时，以书面形式告知劳务派遣人员。</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格式合同文本内容不完善的，应以合同附件形式签署职业病危害告知书（示例见附件</w:t>
      </w:r>
      <w:r w:rsidRPr="00A90197">
        <w:rPr>
          <w:rFonts w:ascii="Times New Roman" w:eastAsia="宋体" w:hAnsi="Times New Roman" w:cs="Times New Roman"/>
          <w:kern w:val="0"/>
          <w:sz w:val="24"/>
          <w:szCs w:val="24"/>
        </w:rPr>
        <w:t>1</w:t>
      </w:r>
      <w:r w:rsidRPr="00A90197">
        <w:rPr>
          <w:rFonts w:ascii="Times New Roman" w:eastAsia="宋体" w:hAnsi="Times New Roman" w:cs="宋体" w:hint="eastAsia"/>
          <w:kern w:val="0"/>
          <w:sz w:val="24"/>
          <w:szCs w:val="24"/>
        </w:rPr>
        <w:t>）。</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第八条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劳动者在履行劳动合同期间因工作岗位或者工作内容变更，从事与所订立劳动合同中未告知的存在职业病危害的作业时，用人单位应当依照本规范第七条的规定，向劳动者履行如实告知的义务，并协商变更原劳动合同相关条款。</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lastRenderedPageBreak/>
        <w:t>第九条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对劳动者进行上岗前的职业卫生培训和在岗期间的定期职业卫生培训，使劳动者知悉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产生职业病危害的用人单位应当设置公告栏，公布本单位职业病防治的规章制度等内容。</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第十一条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用人单位要按照规定组织从事接触职业病危害作业的劳动者进行上岗前、在岗期间和离岗时的职业健康检查，并将检查结果书面告知劳动者本人。用人单位书面告知文件要留档备查。</w:t>
      </w:r>
    </w:p>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第三章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职业病危害警示标识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第十二条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用人单位应在产生或存在职业病危害因素的工作场所、作业岗位、设备、材料（产品）包装、贮存场所设置相应的警示标识。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第十三条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产生职业病危害的工作场所，应当在工作场所入口处及产生职业病危害的作业岗位或设备附近的醒目位置设置警示标识：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一）产生粉尘的工作场所设置“注意防尘”、“戴防尘口罩”、“注意通风”等警示标识，对皮肤有刺激性或经皮肤吸收的粉尘工作场所还应设置“穿防护服”、“戴防护手套”、“戴防护眼镜”，产生含有有毒物质的混合性粉（烟）尘的工作场所应设置“戴防尘毒口罩”；</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（二）放射工作场所设置“当心电离辐射”等警示标识，在开放性同位素工作场所设置“当心裂变物质”；</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三）有毒物品工作场所设置“禁止入内”、“当心中毒”、“当心有毒气体”、“必须洗手”、“穿防护服”、“戴防毒面具”、“戴防护手套”、“戴防护眼镜”、“注意通风”等警示标识，并标明“紧急出口”、“救援电话”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lastRenderedPageBreak/>
        <w:t>（四）能引起职业性灼伤或腐蚀的化学品工作场所，设置“当心腐蚀”、“腐蚀性”、“遇湿具有腐蚀性”、“当心灼伤”、“穿防护服”、“戴防护手套”、“穿防护鞋”、“戴防护眼镜”、“戴防毒口罩”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（五）产生噪声的工作场所设置“噪声有害”、“戴护耳器”等警示标识；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（六）高温工作场所设置“当心中暑”、“注意高温”、“注意通风”等警示标识；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（七）能引起电光性眼炎的工作场所设置“当心弧光”、“戴防护镜”等警示标识；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（八）生物因素所致职业病的工作场所设置“当心感染”等警示标识；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（九）存在低温作业的工作场所设置“注意低温”、“当心冻伤”等警示标识；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（十）密闭空间作业场所出入口设置“密闭空间作业危险”、“进入需许可”等警示标识；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（十一）产生手传振动的工作场所设置“振动有害”、“使用设备时必须戴防振手套”等警示标识；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（十二）能引起其他职业病危害的工作场所设置“注意</w:t>
      </w:r>
      <w:r w:rsidRPr="00A90197">
        <w:rPr>
          <w:rFonts w:ascii="Times New Roman" w:eastAsia="宋体" w:hAnsi="Times New Roman" w:cs="Times New Roman"/>
          <w:kern w:val="0"/>
          <w:sz w:val="24"/>
          <w:szCs w:val="24"/>
        </w:rPr>
        <w:t>XX</w:t>
      </w:r>
      <w:r w:rsidRPr="00A90197">
        <w:rPr>
          <w:rFonts w:ascii="Times New Roman" w:eastAsia="宋体" w:hAnsi="Times New Roman" w:cs="宋体" w:hint="eastAsia"/>
          <w:kern w:val="0"/>
          <w:sz w:val="24"/>
          <w:szCs w:val="24"/>
        </w:rPr>
        <w:t>危害”等警示标识。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第十四条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生产、使用有毒物品工作场所应当设置黄色区域警示线。生产、使用高毒、剧毒物品工作场所应当设置红色区域警示线。</w:t>
      </w:r>
      <w:proofErr w:type="gramStart"/>
      <w:r w:rsidRPr="00A90197">
        <w:rPr>
          <w:rFonts w:ascii="Times New Roman" w:eastAsia="宋体" w:hAnsi="Times New Roman" w:cs="宋体" w:hint="eastAsia"/>
          <w:kern w:val="0"/>
          <w:sz w:val="24"/>
          <w:szCs w:val="24"/>
        </w:rPr>
        <w:t>警示线</w:t>
      </w:r>
      <w:proofErr w:type="gramEnd"/>
      <w:r w:rsidRPr="00A90197">
        <w:rPr>
          <w:rFonts w:ascii="Times New Roman" w:eastAsia="宋体" w:hAnsi="Times New Roman" w:cs="宋体" w:hint="eastAsia"/>
          <w:kern w:val="0"/>
          <w:sz w:val="24"/>
          <w:szCs w:val="24"/>
        </w:rPr>
        <w:t>设在生产、使用有毒物品的车间周围外缘不少于</w:t>
      </w:r>
      <w:r w:rsidRPr="00A90197">
        <w:rPr>
          <w:rFonts w:ascii="Times New Roman" w:eastAsia="宋体" w:hAnsi="Times New Roman" w:cs="Times New Roman"/>
          <w:kern w:val="0"/>
          <w:sz w:val="24"/>
          <w:szCs w:val="24"/>
        </w:rPr>
        <w:t>30cm</w:t>
      </w:r>
      <w:r w:rsidRPr="00A90197">
        <w:rPr>
          <w:rFonts w:ascii="Times New Roman" w:eastAsia="宋体" w:hAnsi="Times New Roman" w:cs="宋体" w:hint="eastAsia"/>
          <w:kern w:val="0"/>
          <w:sz w:val="24"/>
          <w:szCs w:val="24"/>
        </w:rPr>
        <w:t>处，</w:t>
      </w:r>
      <w:proofErr w:type="gramStart"/>
      <w:r w:rsidRPr="00A90197">
        <w:rPr>
          <w:rFonts w:ascii="Times New Roman" w:eastAsia="宋体" w:hAnsi="Times New Roman" w:cs="宋体" w:hint="eastAsia"/>
          <w:kern w:val="0"/>
          <w:sz w:val="24"/>
          <w:szCs w:val="24"/>
        </w:rPr>
        <w:t>警示线</w:t>
      </w:r>
      <w:proofErr w:type="gramEnd"/>
      <w:r w:rsidRPr="00A90197">
        <w:rPr>
          <w:rFonts w:ascii="Times New Roman" w:eastAsia="宋体" w:hAnsi="Times New Roman" w:cs="宋体" w:hint="eastAsia"/>
          <w:kern w:val="0"/>
          <w:sz w:val="24"/>
          <w:szCs w:val="24"/>
        </w:rPr>
        <w:t>宽度不少于</w:t>
      </w:r>
      <w:r w:rsidRPr="00A90197">
        <w:rPr>
          <w:rFonts w:ascii="Times New Roman" w:eastAsia="宋体" w:hAnsi="Times New Roman" w:cs="Times New Roman"/>
          <w:kern w:val="0"/>
          <w:sz w:val="24"/>
          <w:szCs w:val="24"/>
        </w:rPr>
        <w:t>10cm</w:t>
      </w:r>
      <w:r w:rsidRPr="00A90197">
        <w:rPr>
          <w:rFonts w:ascii="Times New Roman" w:eastAsia="宋体" w:hAnsi="Times New Roman" w:cs="宋体" w:hint="eastAsia"/>
          <w:kern w:val="0"/>
          <w:sz w:val="24"/>
          <w:szCs w:val="24"/>
        </w:rPr>
        <w:t>。</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第十五条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开放性放射工作场所监督区设置黄色区域警示线，控制区设置红色区域警示线；室外、野外放射工作场所及室外、野外放射性同位素及其贮存场所应设置相应警示线。</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第十六条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对产生严重职业病危害的作业岗位，除按本规范第十三条的要求设置警示标识外，还应当在其醒目位置设置职业病危害告知卡（以下简称告知卡，示例见附件</w:t>
      </w:r>
      <w:r w:rsidRPr="00A90197">
        <w:rPr>
          <w:rFonts w:ascii="Times New Roman" w:eastAsia="宋体" w:hAnsi="Times New Roman" w:cs="Times New Roman"/>
          <w:kern w:val="0"/>
          <w:sz w:val="24"/>
          <w:szCs w:val="24"/>
        </w:rPr>
        <w:t>2</w:t>
      </w:r>
      <w:r w:rsidRPr="00A90197">
        <w:rPr>
          <w:rFonts w:ascii="Times New Roman" w:eastAsia="宋体" w:hAnsi="Times New Roman" w:cs="宋体" w:hint="eastAsia"/>
          <w:kern w:val="0"/>
          <w:sz w:val="24"/>
          <w:szCs w:val="24"/>
        </w:rPr>
        <w:t>）。</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proofErr w:type="gramStart"/>
      <w:r w:rsidRPr="00A90197">
        <w:rPr>
          <w:rFonts w:ascii="Times New Roman" w:eastAsia="宋体" w:hAnsi="Times New Roman" w:cs="宋体" w:hint="eastAsia"/>
          <w:kern w:val="0"/>
          <w:sz w:val="24"/>
          <w:szCs w:val="24"/>
        </w:rPr>
        <w:t>告知卡</w:t>
      </w:r>
      <w:proofErr w:type="gramEnd"/>
      <w:r w:rsidRPr="00A90197">
        <w:rPr>
          <w:rFonts w:ascii="Times New Roman" w:eastAsia="宋体" w:hAnsi="Times New Roman" w:cs="宋体" w:hint="eastAsia"/>
          <w:kern w:val="0"/>
          <w:sz w:val="24"/>
          <w:szCs w:val="24"/>
        </w:rPr>
        <w:t>应当标明职业病危害因素名称、理化特性、健康危害、接触限值、防护措施、应急处理及急救电话、职业病危害因素检测结果及检测时间等。</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lastRenderedPageBreak/>
        <w:t>符合以下条件之一，即为产生严重职业病危害的作业岗位：</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Times New Roman"/>
          <w:kern w:val="0"/>
          <w:sz w:val="24"/>
          <w:szCs w:val="24"/>
        </w:rPr>
        <w:t>1.</w:t>
      </w:r>
      <w:r w:rsidRPr="00A90197">
        <w:rPr>
          <w:rFonts w:ascii="Times New Roman" w:eastAsia="宋体" w:hAnsi="Times New Roman" w:cs="宋体" w:hint="eastAsia"/>
          <w:kern w:val="0"/>
          <w:sz w:val="24"/>
          <w:szCs w:val="24"/>
        </w:rPr>
        <w:t>存在</w:t>
      </w:r>
      <w:proofErr w:type="gramStart"/>
      <w:r w:rsidRPr="00A90197">
        <w:rPr>
          <w:rFonts w:ascii="Times New Roman" w:eastAsia="宋体" w:hAnsi="Times New Roman" w:cs="宋体" w:hint="eastAsia"/>
          <w:kern w:val="0"/>
          <w:sz w:val="24"/>
          <w:szCs w:val="24"/>
        </w:rPr>
        <w:t>矽尘或</w:t>
      </w:r>
      <w:proofErr w:type="gramEnd"/>
      <w:r w:rsidRPr="00A90197">
        <w:rPr>
          <w:rFonts w:ascii="Times New Roman" w:eastAsia="宋体" w:hAnsi="Times New Roman" w:cs="宋体" w:hint="eastAsia"/>
          <w:kern w:val="0"/>
          <w:sz w:val="24"/>
          <w:szCs w:val="24"/>
        </w:rPr>
        <w:t>石棉粉尘的作业岗位；</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Times New Roman"/>
          <w:kern w:val="0"/>
          <w:sz w:val="24"/>
          <w:szCs w:val="24"/>
        </w:rPr>
        <w:t>2.</w:t>
      </w:r>
      <w:r w:rsidRPr="00A90197">
        <w:rPr>
          <w:rFonts w:ascii="Times New Roman" w:eastAsia="宋体" w:hAnsi="Times New Roman" w:cs="宋体" w:hint="eastAsia"/>
          <w:kern w:val="0"/>
          <w:sz w:val="24"/>
          <w:szCs w:val="24"/>
        </w:rPr>
        <w:t>存在“致癌”、“致畸”等有害物质或者可能导致急性职业性中毒的作业岗位；</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Times New Roman"/>
          <w:kern w:val="0"/>
          <w:sz w:val="24"/>
          <w:szCs w:val="24"/>
        </w:rPr>
        <w:t>3.</w:t>
      </w:r>
      <w:r w:rsidRPr="00A90197">
        <w:rPr>
          <w:rFonts w:ascii="Times New Roman" w:eastAsia="宋体" w:hAnsi="Times New Roman" w:cs="宋体" w:hint="eastAsia"/>
          <w:kern w:val="0"/>
          <w:sz w:val="24"/>
          <w:szCs w:val="24"/>
        </w:rPr>
        <w:t>放射性危害作业岗位。</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第十七条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使用可能产生职业病危害的化学品、放射性同位素和含有放射性物质的材料的，必须在使用岗位设置醒目的警示标识和中文警示说明（示例见附件</w:t>
      </w:r>
      <w:r w:rsidRPr="00A90197">
        <w:rPr>
          <w:rFonts w:ascii="Times New Roman" w:eastAsia="宋体" w:hAnsi="Times New Roman" w:cs="Times New Roman"/>
          <w:kern w:val="0"/>
          <w:sz w:val="24"/>
          <w:szCs w:val="24"/>
        </w:rPr>
        <w:t>3</w:t>
      </w:r>
      <w:r w:rsidRPr="00A90197">
        <w:rPr>
          <w:rFonts w:ascii="Times New Roman" w:eastAsia="宋体" w:hAnsi="Times New Roman" w:cs="宋体" w:hint="eastAsia"/>
          <w:kern w:val="0"/>
          <w:sz w:val="24"/>
          <w:szCs w:val="24"/>
        </w:rPr>
        <w:t>），警示说明应当载明产品特性、主要成份、存在的有害因素、可能产生的危害后果、安全使用注意事项、职业病防护以及应急救治措施等内容。</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第十八条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贮存可能产生职业病危害的化学品、放射性同位素和含有放射性物质材料的场所，应当在入口处和存放处设置“当心中毒”、“当心电离辐射”、“非工作人员禁止入内”等警示标识。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第十九条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使用可能产生职业病危害的设备的，除按本规范第十三条的要求设置警示标识外，还应当在设备醒目位置设置中文警示说明。警示说明应当载明设备性能、可能产生的职业病危害、安全操作和维护注意事项、职业病防护以及应急救治措施等内容。</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为用人单位提供可能产生职业病危害的设备或可能产生职业病危害的化学品、放射性同位素和含有放射性物质的材料的，应当依法在设备或者材料的包装上设置警示标识和中文警示说明。</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第二十一条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高毒、剧毒物品工作场所应急撤离通道设置“紧急出口”，泄险区启用时应设置“禁止入内”、“禁止停留”等警示标识。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第二十二条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维护和检修装置时产生或可能产生职业病危害的，应在工作区域设置相应的职业病危害警示标识。</w:t>
      </w:r>
      <w:r w:rsidRPr="00A90197">
        <w:rPr>
          <w:rFonts w:ascii="Times New Roman" w:eastAsia="宋体" w:hAnsi="Times New Roman" w:cs="Times New Roman"/>
          <w:kern w:val="0"/>
          <w:sz w:val="24"/>
          <w:szCs w:val="24"/>
        </w:rPr>
        <w:t xml:space="preserve"> </w:t>
      </w:r>
    </w:p>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宋体" w:hint="eastAsia"/>
          <w:b/>
          <w:bCs/>
          <w:kern w:val="0"/>
          <w:sz w:val="24"/>
          <w:szCs w:val="24"/>
        </w:rPr>
        <w:t>第四章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公告栏与警示标识的设置</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第二十三条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公告栏应设置在用人单位办公区域、工作场所入口处等方便劳动者观看的醒目位置。</w:t>
      </w:r>
      <w:proofErr w:type="gramStart"/>
      <w:r w:rsidRPr="00A90197">
        <w:rPr>
          <w:rFonts w:ascii="Times New Roman" w:eastAsia="宋体" w:hAnsi="Times New Roman" w:cs="宋体" w:hint="eastAsia"/>
          <w:kern w:val="0"/>
          <w:sz w:val="24"/>
          <w:szCs w:val="24"/>
        </w:rPr>
        <w:t>告知卡</w:t>
      </w:r>
      <w:proofErr w:type="gramEnd"/>
      <w:r w:rsidRPr="00A90197">
        <w:rPr>
          <w:rFonts w:ascii="Times New Roman" w:eastAsia="宋体" w:hAnsi="Times New Roman" w:cs="宋体" w:hint="eastAsia"/>
          <w:kern w:val="0"/>
          <w:sz w:val="24"/>
          <w:szCs w:val="24"/>
        </w:rPr>
        <w:t>应设置在产生或存在严重职业病危害的作业岗位附近的醒目位置。</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lastRenderedPageBreak/>
        <w:t>第二十四条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公告栏和</w:t>
      </w:r>
      <w:proofErr w:type="gramStart"/>
      <w:r w:rsidRPr="00A90197">
        <w:rPr>
          <w:rFonts w:ascii="Times New Roman" w:eastAsia="宋体" w:hAnsi="Times New Roman" w:cs="宋体" w:hint="eastAsia"/>
          <w:kern w:val="0"/>
          <w:sz w:val="24"/>
          <w:szCs w:val="24"/>
        </w:rPr>
        <w:t>告知卡</w:t>
      </w:r>
      <w:proofErr w:type="gramEnd"/>
      <w:r w:rsidRPr="00A90197">
        <w:rPr>
          <w:rFonts w:ascii="Times New Roman" w:eastAsia="宋体" w:hAnsi="Times New Roman" w:cs="宋体" w:hint="eastAsia"/>
          <w:kern w:val="0"/>
          <w:sz w:val="24"/>
          <w:szCs w:val="24"/>
        </w:rPr>
        <w:t>应使用坚固材料制成，尺寸大小应满足内容需要，高度应适合劳动者阅读，内容应字迹清楚、颜色醒目。</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第二十五条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用人单位多处场所都涉及同一职业病危害因素的，应在各工作场所入口处均设置相应的警示标识。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第二十六条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工作场所内存在多个产生相同职业病危害因素的作业岗位的，临近的作业岗位可以共用警示标识、中文警示说明和告知卡。</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第二十七条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警示标识（不包括警示线）采用坚固耐用、不易变形变质、阻燃的材料制作。有触电危险的工作场所使用绝缘材料。可能产生职业病危害的设备及化学品、放射性同位素和含放射性物质的材料（产品）包装上，可直接粘贴、印刷或者喷涂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第二十八条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警示标识设置的位置应具有良好的照明条件。井下警示标识应用反光材料制作。</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第二十九条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公告栏、</w:t>
      </w:r>
      <w:proofErr w:type="gramStart"/>
      <w:r w:rsidRPr="00A90197">
        <w:rPr>
          <w:rFonts w:ascii="Times New Roman" w:eastAsia="宋体" w:hAnsi="Times New Roman" w:cs="宋体" w:hint="eastAsia"/>
          <w:kern w:val="0"/>
          <w:sz w:val="24"/>
          <w:szCs w:val="24"/>
        </w:rPr>
        <w:t>告知卡</w:t>
      </w:r>
      <w:proofErr w:type="gramEnd"/>
      <w:r w:rsidRPr="00A90197">
        <w:rPr>
          <w:rFonts w:ascii="Times New Roman" w:eastAsia="宋体" w:hAnsi="Times New Roman" w:cs="宋体" w:hint="eastAsia"/>
          <w:kern w:val="0"/>
          <w:sz w:val="24"/>
          <w:szCs w:val="24"/>
        </w:rPr>
        <w:t>和警示标识不应设在门窗或可移动的物体上，其前面不得放置妨碍认读的障碍物。</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多个警示标识在一起设置时，应按禁止、警告、指令、提示类型的顺序，先左后右、先上后下排列。</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第三十一条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警示标识的规格要求等按照《工作场所职业病危害警示标识》（</w:t>
      </w:r>
      <w:r w:rsidRPr="00A90197">
        <w:rPr>
          <w:rFonts w:ascii="Times New Roman" w:eastAsia="宋体" w:hAnsi="Times New Roman" w:cs="Times New Roman"/>
          <w:kern w:val="0"/>
          <w:sz w:val="24"/>
          <w:szCs w:val="24"/>
        </w:rPr>
        <w:t>GBZ 158</w:t>
      </w:r>
      <w:r w:rsidRPr="00A90197">
        <w:rPr>
          <w:rFonts w:ascii="Times New Roman" w:eastAsia="宋体" w:hAnsi="Times New Roman" w:cs="宋体" w:hint="eastAsia"/>
          <w:kern w:val="0"/>
          <w:sz w:val="24"/>
          <w:szCs w:val="24"/>
        </w:rPr>
        <w:t>）执行。</w:t>
      </w:r>
      <w:r w:rsidRPr="00A90197">
        <w:rPr>
          <w:rFonts w:ascii="Times New Roman" w:eastAsia="宋体" w:hAnsi="Times New Roman" w:cs="Times New Roman"/>
          <w:kern w:val="0"/>
          <w:sz w:val="24"/>
          <w:szCs w:val="24"/>
        </w:rPr>
        <w:t xml:space="preserve"> </w:t>
      </w:r>
    </w:p>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宋体" w:hint="eastAsia"/>
          <w:b/>
          <w:bCs/>
          <w:kern w:val="0"/>
          <w:sz w:val="24"/>
          <w:szCs w:val="24"/>
        </w:rPr>
        <w:t>第五章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公告栏与警示标识的维护更换</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第三十二条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公告栏中公告内容发生变动后应及时更新，职业病危害因素检测结果应在收到检测报告之日起</w:t>
      </w:r>
      <w:r w:rsidRPr="00A90197">
        <w:rPr>
          <w:rFonts w:ascii="Times New Roman" w:eastAsia="宋体" w:hAnsi="Times New Roman" w:cs="Times New Roman"/>
          <w:kern w:val="0"/>
          <w:sz w:val="24"/>
          <w:szCs w:val="24"/>
        </w:rPr>
        <w:t>7</w:t>
      </w:r>
      <w:r w:rsidRPr="00A90197">
        <w:rPr>
          <w:rFonts w:ascii="Times New Roman" w:eastAsia="宋体" w:hAnsi="Times New Roman" w:cs="宋体" w:hint="eastAsia"/>
          <w:kern w:val="0"/>
          <w:sz w:val="24"/>
          <w:szCs w:val="24"/>
        </w:rPr>
        <w:t>日内更新。</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生产工艺发生变更时，应在工艺变更完成后</w:t>
      </w:r>
      <w:r w:rsidRPr="00A90197">
        <w:rPr>
          <w:rFonts w:ascii="Times New Roman" w:eastAsia="宋体" w:hAnsi="Times New Roman" w:cs="Times New Roman"/>
          <w:kern w:val="0"/>
          <w:sz w:val="24"/>
          <w:szCs w:val="24"/>
        </w:rPr>
        <w:t>7</w:t>
      </w:r>
      <w:r w:rsidRPr="00A90197">
        <w:rPr>
          <w:rFonts w:ascii="Times New Roman" w:eastAsia="宋体" w:hAnsi="Times New Roman" w:cs="宋体" w:hint="eastAsia"/>
          <w:kern w:val="0"/>
          <w:sz w:val="24"/>
          <w:szCs w:val="24"/>
        </w:rPr>
        <w:t>日内补充完善相应的公告内容与警示标识。</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第三十三条</w:t>
      </w:r>
      <w:r w:rsidRPr="00A90197">
        <w:rPr>
          <w:rFonts w:ascii="Times New Roman" w:eastAsia="宋体" w:hAnsi="Times New Roman" w:cs="Times New Roman"/>
          <w:kern w:val="0"/>
          <w:sz w:val="24"/>
          <w:szCs w:val="24"/>
        </w:rPr>
        <w:t xml:space="preserve"> </w:t>
      </w:r>
      <w:proofErr w:type="gramStart"/>
      <w:r w:rsidRPr="00A90197">
        <w:rPr>
          <w:rFonts w:ascii="Times New Roman" w:eastAsia="宋体" w:hAnsi="Times New Roman" w:cs="宋体" w:hint="eastAsia"/>
          <w:kern w:val="0"/>
          <w:sz w:val="24"/>
          <w:szCs w:val="24"/>
        </w:rPr>
        <w:t>告知卡</w:t>
      </w:r>
      <w:proofErr w:type="gramEnd"/>
      <w:r w:rsidRPr="00A90197">
        <w:rPr>
          <w:rFonts w:ascii="Times New Roman" w:eastAsia="宋体" w:hAnsi="Times New Roman" w:cs="宋体" w:hint="eastAsia"/>
          <w:kern w:val="0"/>
          <w:sz w:val="24"/>
          <w:szCs w:val="24"/>
        </w:rPr>
        <w:t>和警示标识应至少每半年检查一次，发现有破损、变形、变色、图形符号脱落、亮度老化等影响使用的问题时应及时修整或更换。</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lastRenderedPageBreak/>
        <w:t>第三十四条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用人单位应按照《国家安全监管总局办公厅关于印发职业卫生档案管理规范的通知》（安</w:t>
      </w:r>
      <w:proofErr w:type="gramStart"/>
      <w:r w:rsidRPr="00A90197">
        <w:rPr>
          <w:rFonts w:ascii="Times New Roman" w:eastAsia="宋体" w:hAnsi="Times New Roman" w:cs="宋体" w:hint="eastAsia"/>
          <w:kern w:val="0"/>
          <w:sz w:val="24"/>
          <w:szCs w:val="24"/>
        </w:rPr>
        <w:t>监总厅安</w:t>
      </w:r>
      <w:proofErr w:type="gramEnd"/>
      <w:r w:rsidRPr="00A90197">
        <w:rPr>
          <w:rFonts w:ascii="Times New Roman" w:eastAsia="宋体" w:hAnsi="Times New Roman" w:cs="宋体" w:hint="eastAsia"/>
          <w:kern w:val="0"/>
          <w:sz w:val="24"/>
          <w:szCs w:val="24"/>
        </w:rPr>
        <w:t>健〔</w:t>
      </w:r>
      <w:r w:rsidRPr="00A90197">
        <w:rPr>
          <w:rFonts w:ascii="Times New Roman" w:eastAsia="宋体" w:hAnsi="Times New Roman" w:cs="Times New Roman"/>
          <w:kern w:val="0"/>
          <w:sz w:val="24"/>
          <w:szCs w:val="24"/>
        </w:rPr>
        <w:t>2013</w:t>
      </w:r>
      <w:r w:rsidRPr="00A90197">
        <w:rPr>
          <w:rFonts w:ascii="Times New Roman" w:eastAsia="宋体" w:hAnsi="Times New Roman" w:cs="宋体" w:hint="eastAsia"/>
          <w:kern w:val="0"/>
          <w:sz w:val="24"/>
          <w:szCs w:val="24"/>
        </w:rPr>
        <w:t>〕</w:t>
      </w:r>
      <w:r w:rsidRPr="00A90197">
        <w:rPr>
          <w:rFonts w:ascii="Times New Roman" w:eastAsia="宋体" w:hAnsi="Times New Roman" w:cs="Times New Roman"/>
          <w:kern w:val="0"/>
          <w:sz w:val="24"/>
          <w:szCs w:val="24"/>
        </w:rPr>
        <w:t>171</w:t>
      </w:r>
      <w:r w:rsidRPr="00A90197">
        <w:rPr>
          <w:rFonts w:ascii="Times New Roman" w:eastAsia="宋体" w:hAnsi="Times New Roman" w:cs="宋体" w:hint="eastAsia"/>
          <w:kern w:val="0"/>
          <w:sz w:val="24"/>
          <w:szCs w:val="24"/>
        </w:rPr>
        <w:t>号）的要求，完善职业病危害告知与警示标识档案材料，并将其存放于本单位的职业卫生档案。</w:t>
      </w:r>
      <w:r w:rsidRPr="00A90197">
        <w:rPr>
          <w:rFonts w:ascii="Times New Roman" w:eastAsia="宋体" w:hAnsi="Times New Roman" w:cs="Times New Roman"/>
          <w:kern w:val="0"/>
          <w:sz w:val="24"/>
          <w:szCs w:val="24"/>
        </w:rPr>
        <w:t xml:space="preserve"> </w:t>
      </w:r>
    </w:p>
    <w:p w:rsidR="00A90197" w:rsidRPr="00A90197" w:rsidRDefault="00A90197" w:rsidP="00A90197">
      <w:pPr>
        <w:widowControl/>
        <w:spacing w:afterLines="100" w:after="312" w:line="380" w:lineRule="exact"/>
        <w:ind w:firstLineChars="200" w:firstLine="482"/>
        <w:jc w:val="left"/>
        <w:rPr>
          <w:rFonts w:ascii="宋体" w:eastAsia="宋体" w:hAnsi="宋体" w:cs="宋体"/>
          <w:kern w:val="0"/>
          <w:sz w:val="24"/>
          <w:szCs w:val="24"/>
        </w:rPr>
      </w:pPr>
      <w:r w:rsidRPr="00A90197">
        <w:rPr>
          <w:rFonts w:ascii="Times New Roman" w:eastAsia="宋体" w:hAnsi="Times New Roman" w:cs="宋体" w:hint="eastAsia"/>
          <w:b/>
          <w:bCs/>
          <w:kern w:val="0"/>
          <w:sz w:val="24"/>
          <w:szCs w:val="24"/>
        </w:rPr>
        <w:t>第六章</w:t>
      </w:r>
      <w:r w:rsidRPr="00A90197">
        <w:rPr>
          <w:rFonts w:ascii="Times New Roman" w:eastAsia="宋体" w:hAnsi="Times New Roman" w:cs="Times New Roman"/>
          <w:b/>
          <w:bCs/>
          <w:kern w:val="0"/>
          <w:sz w:val="24"/>
          <w:szCs w:val="24"/>
        </w:rPr>
        <w:t xml:space="preserve"> </w:t>
      </w:r>
      <w:r w:rsidRPr="00A90197">
        <w:rPr>
          <w:rFonts w:ascii="Times New Roman" w:eastAsia="宋体" w:hAnsi="Times New Roman" w:cs="宋体" w:hint="eastAsia"/>
          <w:b/>
          <w:bCs/>
          <w:kern w:val="0"/>
          <w:sz w:val="24"/>
          <w:szCs w:val="24"/>
        </w:rPr>
        <w:t>附则</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第三十五条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用人单位违反本规范的行为，应当依据《中华人民共和国职业病防治法》、《工作场所职业卫生监督管理规定》等法律法规及规章的规定予以处罚。</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宋体" w:hint="eastAsia"/>
          <w:kern w:val="0"/>
          <w:sz w:val="24"/>
          <w:szCs w:val="24"/>
        </w:rPr>
        <w:t>第三十六条</w:t>
      </w: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本规范未规定的其他有关事项，依照《中华人民共和国职业病防治法》和其他有关法律法规规章及职业卫生标准的规定执行。</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r w:rsidRPr="00A90197">
        <w:rPr>
          <w:rFonts w:ascii="Times New Roman" w:eastAsia="宋体" w:hAnsi="Times New Roman" w:cs="Times New Roman"/>
          <w:kern w:val="0"/>
          <w:sz w:val="24"/>
          <w:szCs w:val="24"/>
        </w:rPr>
        <w:t xml:space="preserve"> </w:t>
      </w:r>
      <w:r w:rsidRPr="00A90197">
        <w:rPr>
          <w:rFonts w:ascii="Times New Roman" w:eastAsia="宋体" w:hAnsi="Times New Roman" w:cs="宋体" w:hint="eastAsia"/>
          <w:kern w:val="0"/>
          <w:sz w:val="24"/>
          <w:szCs w:val="24"/>
        </w:rPr>
        <w:t>附件：</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hyperlink r:id="rId7" w:tgtFrame="_blank" w:history="1">
        <w:r w:rsidRPr="00A90197">
          <w:rPr>
            <w:rFonts w:ascii="Times New Roman" w:eastAsia="宋体" w:hAnsi="Times New Roman" w:cs="Times New Roman"/>
            <w:color w:val="0000FF"/>
            <w:kern w:val="0"/>
            <w:sz w:val="24"/>
            <w:szCs w:val="24"/>
            <w:u w:val="single"/>
          </w:rPr>
          <w:t>1.</w:t>
        </w:r>
        <w:r w:rsidRPr="00A90197">
          <w:rPr>
            <w:rFonts w:ascii="Times New Roman" w:eastAsia="宋体" w:hAnsi="Times New Roman" w:cs="Times New Roman" w:hint="eastAsia"/>
            <w:color w:val="0000FF"/>
            <w:kern w:val="0"/>
            <w:sz w:val="24"/>
            <w:szCs w:val="24"/>
            <w:u w:val="single"/>
          </w:rPr>
          <w:t>职业病危害告知书示</w:t>
        </w:r>
        <w:r w:rsidRPr="00A90197">
          <w:rPr>
            <w:rFonts w:ascii="Times New Roman" w:eastAsia="宋体" w:hAnsi="Times New Roman" w:cs="Times New Roman" w:hint="eastAsia"/>
            <w:color w:val="0000FF"/>
            <w:kern w:val="0"/>
            <w:sz w:val="24"/>
            <w:szCs w:val="24"/>
            <w:u w:val="single"/>
          </w:rPr>
          <w:t>例</w:t>
        </w:r>
      </w:hyperlink>
      <w:r w:rsidRPr="00A90197">
        <w:rPr>
          <w:rFonts w:ascii="Times New Roman" w:eastAsia="宋体" w:hAnsi="Times New Roman" w:cs="Times New Roman"/>
          <w:kern w:val="0"/>
          <w:sz w:val="24"/>
          <w:szCs w:val="24"/>
        </w:rPr>
        <w:t xml:space="preserve">  </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hyperlink r:id="rId8" w:tgtFrame="_blank" w:history="1">
        <w:r w:rsidRPr="00A90197">
          <w:rPr>
            <w:rFonts w:ascii="Times New Roman" w:eastAsia="宋体" w:hAnsi="Times New Roman" w:cs="Times New Roman"/>
            <w:color w:val="0000FF"/>
            <w:kern w:val="0"/>
            <w:sz w:val="24"/>
            <w:szCs w:val="24"/>
            <w:u w:val="single"/>
          </w:rPr>
          <w:t>2.</w:t>
        </w:r>
        <w:r w:rsidRPr="00A90197">
          <w:rPr>
            <w:rFonts w:ascii="Times New Roman" w:eastAsia="宋体" w:hAnsi="Times New Roman" w:cs="Times New Roman" w:hint="eastAsia"/>
            <w:color w:val="0000FF"/>
            <w:kern w:val="0"/>
            <w:sz w:val="24"/>
            <w:szCs w:val="24"/>
            <w:u w:val="single"/>
          </w:rPr>
          <w:t>职业病危害</w:t>
        </w:r>
        <w:proofErr w:type="gramStart"/>
        <w:r w:rsidRPr="00A90197">
          <w:rPr>
            <w:rFonts w:ascii="Times New Roman" w:eastAsia="宋体" w:hAnsi="Times New Roman" w:cs="Times New Roman" w:hint="eastAsia"/>
            <w:color w:val="0000FF"/>
            <w:kern w:val="0"/>
            <w:sz w:val="24"/>
            <w:szCs w:val="24"/>
            <w:u w:val="single"/>
          </w:rPr>
          <w:t>告知卡示</w:t>
        </w:r>
        <w:r w:rsidRPr="00A90197">
          <w:rPr>
            <w:rFonts w:ascii="Times New Roman" w:eastAsia="宋体" w:hAnsi="Times New Roman" w:cs="Times New Roman" w:hint="eastAsia"/>
            <w:color w:val="0000FF"/>
            <w:kern w:val="0"/>
            <w:sz w:val="24"/>
            <w:szCs w:val="24"/>
            <w:u w:val="single"/>
          </w:rPr>
          <w:t>例</w:t>
        </w:r>
        <w:proofErr w:type="gramEnd"/>
      </w:hyperlink>
      <w:r w:rsidRPr="00A90197">
        <w:rPr>
          <w:rFonts w:ascii="Times New Roman" w:eastAsia="宋体" w:hAnsi="Times New Roman" w:cs="Times New Roman"/>
          <w:kern w:val="0"/>
          <w:sz w:val="24"/>
          <w:szCs w:val="24"/>
        </w:rPr>
        <w:t xml:space="preserve">  </w:t>
      </w:r>
    </w:p>
    <w:p w:rsidR="00A90197" w:rsidRPr="00A90197" w:rsidRDefault="00A90197" w:rsidP="00A90197">
      <w:pPr>
        <w:widowControl/>
        <w:spacing w:afterLines="100" w:after="312" w:line="380" w:lineRule="exact"/>
        <w:ind w:firstLineChars="200" w:firstLine="480"/>
        <w:jc w:val="left"/>
        <w:rPr>
          <w:rFonts w:ascii="宋体" w:eastAsia="宋体" w:hAnsi="宋体" w:cs="宋体"/>
          <w:kern w:val="0"/>
          <w:sz w:val="24"/>
          <w:szCs w:val="24"/>
        </w:rPr>
      </w:pPr>
      <w:hyperlink r:id="rId9" w:tgtFrame="_blank" w:history="1">
        <w:r w:rsidRPr="00A90197">
          <w:rPr>
            <w:rFonts w:ascii="Times New Roman" w:eastAsia="宋体" w:hAnsi="Times New Roman" w:cs="Times New Roman"/>
            <w:color w:val="0000FF"/>
            <w:kern w:val="0"/>
            <w:sz w:val="24"/>
            <w:szCs w:val="24"/>
            <w:u w:val="single"/>
          </w:rPr>
          <w:t>3.</w:t>
        </w:r>
        <w:r w:rsidRPr="00A90197">
          <w:rPr>
            <w:rFonts w:ascii="Times New Roman" w:eastAsia="宋体" w:hAnsi="Times New Roman" w:cs="Times New Roman" w:hint="eastAsia"/>
            <w:color w:val="0000FF"/>
            <w:kern w:val="0"/>
            <w:sz w:val="24"/>
            <w:szCs w:val="24"/>
            <w:u w:val="single"/>
          </w:rPr>
          <w:t>中文警示说明示</w:t>
        </w:r>
        <w:r w:rsidRPr="00A90197">
          <w:rPr>
            <w:rFonts w:ascii="Times New Roman" w:eastAsia="宋体" w:hAnsi="Times New Roman" w:cs="Times New Roman" w:hint="eastAsia"/>
            <w:color w:val="0000FF"/>
            <w:kern w:val="0"/>
            <w:sz w:val="24"/>
            <w:szCs w:val="24"/>
            <w:u w:val="single"/>
          </w:rPr>
          <w:t>例</w:t>
        </w:r>
        <w:r w:rsidRPr="00A90197">
          <w:rPr>
            <w:rFonts w:ascii="Times New Roman" w:eastAsia="宋体" w:hAnsi="Times New Roman" w:cs="Times New Roman"/>
            <w:color w:val="0000FF"/>
            <w:kern w:val="0"/>
            <w:sz w:val="24"/>
            <w:szCs w:val="24"/>
            <w:u w:val="single"/>
          </w:rPr>
          <w:t xml:space="preserve"> </w:t>
        </w:r>
      </w:hyperlink>
      <w:r w:rsidRPr="00A90197">
        <w:rPr>
          <w:rFonts w:ascii="Times New Roman" w:eastAsia="宋体" w:hAnsi="Times New Roman" w:cs="Times New Roman"/>
          <w:kern w:val="0"/>
          <w:sz w:val="24"/>
          <w:szCs w:val="24"/>
        </w:rPr>
        <w:t xml:space="preserve"> </w:t>
      </w:r>
    </w:p>
    <w:p w:rsidR="00A90197" w:rsidRDefault="00A90197">
      <w:pPr>
        <w:widowControl/>
        <w:jc w:val="left"/>
      </w:pPr>
      <w:r>
        <w:br w:type="page"/>
      </w:r>
    </w:p>
    <w:p w:rsidR="00A90197" w:rsidRPr="00D578DA" w:rsidRDefault="00A90197" w:rsidP="00A90197">
      <w:pPr>
        <w:widowControl/>
        <w:spacing w:line="375" w:lineRule="atLeast"/>
        <w:jc w:val="left"/>
        <w:rPr>
          <w:rFonts w:ascii="Simsun" w:hAnsi="Simsun" w:cs="宋体"/>
          <w:color w:val="000000"/>
          <w:kern w:val="0"/>
          <w:sz w:val="27"/>
          <w:szCs w:val="27"/>
        </w:rPr>
      </w:pPr>
      <w:r w:rsidRPr="00D578DA">
        <w:rPr>
          <w:rFonts w:ascii="Simsun" w:hAnsi="Simsun" w:cs="宋体"/>
          <w:color w:val="000000"/>
          <w:kern w:val="0"/>
          <w:sz w:val="36"/>
          <w:szCs w:val="36"/>
        </w:rPr>
        <w:lastRenderedPageBreak/>
        <w:t>附件</w:t>
      </w:r>
      <w:r w:rsidRPr="00D578DA">
        <w:rPr>
          <w:rFonts w:ascii="Simsun" w:hAnsi="Simsun" w:cs="宋体"/>
          <w:color w:val="000000"/>
          <w:kern w:val="0"/>
          <w:sz w:val="36"/>
          <w:szCs w:val="36"/>
        </w:rPr>
        <w:t>1</w:t>
      </w:r>
    </w:p>
    <w:p w:rsidR="00A90197" w:rsidRPr="00D578DA" w:rsidRDefault="00A90197" w:rsidP="00A90197">
      <w:pPr>
        <w:widowControl/>
        <w:spacing w:line="375" w:lineRule="atLeast"/>
        <w:jc w:val="center"/>
        <w:rPr>
          <w:rFonts w:ascii="Simsun" w:hAnsi="Simsun" w:cs="宋体"/>
          <w:color w:val="000000"/>
          <w:kern w:val="0"/>
          <w:sz w:val="27"/>
          <w:szCs w:val="27"/>
        </w:rPr>
      </w:pPr>
      <w:r w:rsidRPr="00D578DA">
        <w:rPr>
          <w:rFonts w:ascii="Simsun" w:hAnsi="Simsun" w:cs="宋体"/>
          <w:color w:val="000000"/>
          <w:kern w:val="0"/>
          <w:sz w:val="36"/>
          <w:szCs w:val="36"/>
        </w:rPr>
        <w:t>职业病危害告知书示例</w:t>
      </w:r>
    </w:p>
    <w:p w:rsidR="00A90197" w:rsidRPr="00D578DA" w:rsidRDefault="00A90197" w:rsidP="00A90197">
      <w:pPr>
        <w:widowControl/>
        <w:spacing w:line="375" w:lineRule="atLeast"/>
        <w:jc w:val="center"/>
        <w:rPr>
          <w:rFonts w:ascii="Simsun" w:hAnsi="Simsun" w:cs="宋体"/>
          <w:color w:val="000000"/>
          <w:kern w:val="0"/>
          <w:sz w:val="27"/>
          <w:szCs w:val="27"/>
        </w:rPr>
      </w:pPr>
      <w:r w:rsidRPr="00D578DA">
        <w:rPr>
          <w:rFonts w:ascii="Simsun" w:hAnsi="Simsun" w:cs="宋体"/>
          <w:color w:val="000000"/>
          <w:kern w:val="0"/>
          <w:sz w:val="27"/>
          <w:szCs w:val="27"/>
        </w:rPr>
        <w:t> </w:t>
      </w: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根据《职业病防治法》第三十四条的规定，用人单位（甲方）在与劳动者（乙方）订立劳动合同时应告知工作过程中可能产生的职业病危害及其后果、职业病防护措施和待遇等内容：</w:t>
      </w: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（一）所在工作岗位、可能产生的职业病危害、后果及职业病防护措施：</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96"/>
        <w:gridCol w:w="1441"/>
        <w:gridCol w:w="2453"/>
        <w:gridCol w:w="1709"/>
        <w:gridCol w:w="1507"/>
      </w:tblGrid>
      <w:tr w:rsidR="00A90197" w:rsidRPr="00D578DA" w:rsidTr="00D40B48">
        <w:trPr>
          <w:trHeight w:val="769"/>
          <w:jc w:val="center"/>
        </w:trPr>
        <w:tc>
          <w:tcPr>
            <w:tcW w:w="1849"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所在部门及</w:t>
            </w:r>
          </w:p>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岗位名称</w:t>
            </w:r>
          </w:p>
        </w:tc>
        <w:tc>
          <w:tcPr>
            <w:tcW w:w="1490"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职业病危害因素</w:t>
            </w:r>
          </w:p>
        </w:tc>
        <w:tc>
          <w:tcPr>
            <w:tcW w:w="2551"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职业禁忌证</w:t>
            </w:r>
          </w:p>
        </w:tc>
        <w:tc>
          <w:tcPr>
            <w:tcW w:w="1771"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可能导致的职业病危害</w:t>
            </w:r>
          </w:p>
        </w:tc>
        <w:tc>
          <w:tcPr>
            <w:tcW w:w="1559"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center"/>
              <w:rPr>
                <w:rFonts w:ascii="宋体" w:hAnsi="宋体" w:cs="宋体"/>
                <w:kern w:val="0"/>
                <w:sz w:val="24"/>
              </w:rPr>
            </w:pPr>
            <w:r w:rsidRPr="00D578DA">
              <w:rPr>
                <w:rFonts w:ascii="宋体" w:hAnsi="宋体" w:cs="宋体"/>
                <w:color w:val="000000"/>
                <w:kern w:val="0"/>
                <w:sz w:val="24"/>
              </w:rPr>
              <w:t>职业病防护措施</w:t>
            </w:r>
          </w:p>
        </w:tc>
      </w:tr>
      <w:tr w:rsidR="00A90197" w:rsidRPr="00D578DA" w:rsidTr="00D40B48">
        <w:trPr>
          <w:trHeight w:val="2142"/>
          <w:jc w:val="center"/>
        </w:trPr>
        <w:tc>
          <w:tcPr>
            <w:tcW w:w="1849"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例：铸造车间铸造工</w:t>
            </w:r>
          </w:p>
        </w:tc>
        <w:tc>
          <w:tcPr>
            <w:tcW w:w="1490"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ind w:firstLine="240"/>
              <w:jc w:val="left"/>
              <w:rPr>
                <w:rFonts w:ascii="宋体" w:hAnsi="宋体" w:cs="宋体"/>
                <w:kern w:val="0"/>
                <w:sz w:val="24"/>
              </w:rPr>
            </w:pPr>
            <w:r w:rsidRPr="00D578DA">
              <w:rPr>
                <w:rFonts w:ascii="宋体" w:hAnsi="宋体" w:cs="宋体"/>
                <w:color w:val="000000"/>
                <w:kern w:val="0"/>
                <w:sz w:val="24"/>
              </w:rPr>
              <w:t>粉尘</w:t>
            </w:r>
          </w:p>
        </w:tc>
        <w:tc>
          <w:tcPr>
            <w:tcW w:w="2551"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活动性肺结核病</w:t>
            </w:r>
          </w:p>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慢性阻塞性肺病</w:t>
            </w:r>
          </w:p>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慢性间质性肺病</w:t>
            </w:r>
          </w:p>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spacing w:val="10"/>
                <w:kern w:val="0"/>
                <w:sz w:val="24"/>
              </w:rPr>
              <w:t>伴肺功能损害的疾</w:t>
            </w:r>
            <w:r w:rsidRPr="00D578DA">
              <w:rPr>
                <w:rFonts w:ascii="宋体" w:hAnsi="宋体" w:cs="宋体"/>
                <w:color w:val="000000"/>
                <w:spacing w:val="-40"/>
                <w:kern w:val="0"/>
                <w:sz w:val="24"/>
              </w:rPr>
              <w:t>病</w:t>
            </w:r>
          </w:p>
        </w:tc>
        <w:tc>
          <w:tcPr>
            <w:tcW w:w="1771"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ind w:firstLine="360"/>
              <w:jc w:val="left"/>
              <w:rPr>
                <w:rFonts w:ascii="宋体" w:hAnsi="宋体" w:cs="宋体"/>
                <w:kern w:val="0"/>
                <w:sz w:val="24"/>
              </w:rPr>
            </w:pPr>
            <w:r w:rsidRPr="00D578DA">
              <w:rPr>
                <w:rFonts w:ascii="宋体" w:hAnsi="宋体" w:cs="宋体"/>
                <w:color w:val="000000"/>
                <w:kern w:val="0"/>
                <w:sz w:val="24"/>
              </w:rPr>
              <w:t>尘肺</w:t>
            </w:r>
          </w:p>
        </w:tc>
        <w:tc>
          <w:tcPr>
            <w:tcW w:w="1559" w:type="dxa"/>
            <w:shd w:val="clear" w:color="auto" w:fill="auto"/>
            <w:tcMar>
              <w:top w:w="0" w:type="dxa"/>
              <w:left w:w="108" w:type="dxa"/>
              <w:bottom w:w="0" w:type="dxa"/>
              <w:right w:w="108" w:type="dxa"/>
            </w:tcMar>
            <w:vAlign w:val="center"/>
          </w:tcPr>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除尘装置</w:t>
            </w:r>
          </w:p>
          <w:p w:rsidR="00A90197" w:rsidRPr="00D578DA" w:rsidRDefault="00A90197" w:rsidP="00D40B48">
            <w:pPr>
              <w:widowControl/>
              <w:spacing w:line="375" w:lineRule="atLeast"/>
              <w:jc w:val="left"/>
              <w:rPr>
                <w:rFonts w:ascii="宋体" w:hAnsi="宋体" w:cs="宋体"/>
                <w:kern w:val="0"/>
                <w:sz w:val="24"/>
              </w:rPr>
            </w:pPr>
            <w:r w:rsidRPr="00D578DA">
              <w:rPr>
                <w:rFonts w:ascii="宋体" w:hAnsi="宋体" w:cs="宋体"/>
                <w:color w:val="000000"/>
                <w:kern w:val="0"/>
                <w:sz w:val="24"/>
              </w:rPr>
              <w:t>防尘口罩</w:t>
            </w:r>
          </w:p>
        </w:tc>
      </w:tr>
    </w:tbl>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（二）甲方应依照《职业病防治法》及《职业健康监护技术规范》（</w:t>
      </w:r>
      <w:r w:rsidRPr="00D578DA">
        <w:rPr>
          <w:rFonts w:ascii="Simsun" w:hAnsi="Simsun" w:cs="宋体"/>
          <w:color w:val="000000"/>
          <w:kern w:val="0"/>
          <w:sz w:val="24"/>
        </w:rPr>
        <w:t>GBZ188</w:t>
      </w:r>
      <w:r w:rsidRPr="00D578DA">
        <w:rPr>
          <w:rFonts w:ascii="Simsun" w:hAnsi="Simsun" w:cs="宋体"/>
          <w:color w:val="000000"/>
          <w:kern w:val="0"/>
          <w:sz w:val="24"/>
        </w:rPr>
        <w:t>）的要求，做好乙方上岗前、在岗期间、离岗时的职业健康检查和应急检查。一旦发生职业病，甲方必须按照国家有关法律、法规的要求，为乙方如实提供职业病诊断、鉴定所需的劳动者职业史和职业病危害接触史、工作场所职业病危害因素检测结果等资料及相应待遇。</w:t>
      </w: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三）乙方应自觉遵守甲方的职业卫生管理制度和操作规程，正确使用维护职业病防护设施和个人职业病防护用品，积极参加职业卫生知识培训，按要求参加上岗前、在岗期间和离岗时的职业健康检查。若被检查出职业禁忌证或发现与所从事的职业相关的健康损害的，必须服从甲方为保护乙方职业健康而调离原岗位并妥善安置的工作安排。</w:t>
      </w: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（四）当乙方工作岗位或者工作内容发生变更，从事告知书中未告知的存在职业病危害的作业时，甲方应与其协商变更告知</w:t>
      </w:r>
      <w:proofErr w:type="gramStart"/>
      <w:r w:rsidRPr="00D578DA">
        <w:rPr>
          <w:rFonts w:ascii="Simsun" w:hAnsi="Simsun" w:cs="宋体"/>
          <w:color w:val="000000"/>
          <w:kern w:val="0"/>
          <w:sz w:val="24"/>
        </w:rPr>
        <w:t>书相关</w:t>
      </w:r>
      <w:proofErr w:type="gramEnd"/>
      <w:r w:rsidRPr="00D578DA">
        <w:rPr>
          <w:rFonts w:ascii="Simsun" w:hAnsi="Simsun" w:cs="宋体"/>
          <w:color w:val="000000"/>
          <w:kern w:val="0"/>
          <w:sz w:val="24"/>
        </w:rPr>
        <w:t>内容，重新签订职业病危害告知书。</w:t>
      </w: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（五）甲方未履行职业病危害告知义务，乙方有权拒绝从事存在职业病危害的作业，甲方不得因此解除与乙方所订立的劳动合同。</w:t>
      </w:r>
    </w:p>
    <w:p w:rsidR="00A90197" w:rsidRDefault="00A90197" w:rsidP="00A90197">
      <w:pPr>
        <w:widowControl/>
        <w:spacing w:line="375" w:lineRule="atLeast"/>
        <w:ind w:firstLine="662"/>
        <w:jc w:val="left"/>
        <w:rPr>
          <w:rFonts w:ascii="Simsun" w:hAnsi="Simsun" w:cs="宋体" w:hint="eastAsia"/>
          <w:color w:val="000000"/>
          <w:kern w:val="0"/>
          <w:sz w:val="24"/>
        </w:rPr>
      </w:pPr>
      <w:r w:rsidRPr="00D578DA">
        <w:rPr>
          <w:rFonts w:ascii="Simsun" w:hAnsi="Simsun" w:cs="宋体"/>
          <w:color w:val="000000"/>
          <w:kern w:val="0"/>
          <w:sz w:val="24"/>
        </w:rPr>
        <w:t>（六）职业病危害告知书作为甲方与乙方签订劳动合同的附件，具有同等的法律效力。</w:t>
      </w:r>
    </w:p>
    <w:p w:rsidR="00A90197" w:rsidRPr="00D578DA" w:rsidRDefault="00A90197" w:rsidP="00A90197">
      <w:pPr>
        <w:widowControl/>
        <w:spacing w:line="375" w:lineRule="atLeast"/>
        <w:ind w:firstLine="662"/>
        <w:jc w:val="left"/>
        <w:rPr>
          <w:rFonts w:ascii="Simsun" w:hAnsi="Simsun" w:cs="宋体" w:hint="eastAsia"/>
          <w:color w:val="000000"/>
          <w:kern w:val="0"/>
          <w:sz w:val="27"/>
          <w:szCs w:val="27"/>
        </w:rPr>
      </w:pPr>
    </w:p>
    <w:p w:rsidR="00A90197" w:rsidRPr="00D578DA" w:rsidRDefault="00A90197" w:rsidP="00A90197">
      <w:pPr>
        <w:widowControl/>
        <w:spacing w:line="375" w:lineRule="atLeast"/>
        <w:ind w:firstLine="662"/>
        <w:jc w:val="left"/>
        <w:rPr>
          <w:rFonts w:ascii="Simsun" w:hAnsi="Simsun" w:cs="宋体"/>
          <w:color w:val="000000"/>
          <w:kern w:val="0"/>
          <w:sz w:val="27"/>
          <w:szCs w:val="27"/>
        </w:rPr>
      </w:pPr>
      <w:r w:rsidRPr="00D578DA">
        <w:rPr>
          <w:rFonts w:ascii="Simsun" w:hAnsi="Simsun" w:cs="宋体"/>
          <w:color w:val="000000"/>
          <w:kern w:val="0"/>
          <w:sz w:val="24"/>
        </w:rPr>
        <w:t>甲方（签章）</w:t>
      </w:r>
      <w:r w:rsidRPr="00D578DA">
        <w:rPr>
          <w:rFonts w:ascii="Simsun" w:hAnsi="Simsun" w:cs="宋体"/>
          <w:color w:val="000000"/>
          <w:kern w:val="0"/>
          <w:sz w:val="24"/>
        </w:rPr>
        <w:t>                       </w:t>
      </w:r>
      <w:r w:rsidRPr="00D578DA">
        <w:rPr>
          <w:rFonts w:ascii="Simsun" w:hAnsi="Simsun" w:cs="宋体"/>
          <w:color w:val="000000"/>
          <w:kern w:val="0"/>
          <w:sz w:val="24"/>
        </w:rPr>
        <w:t>乙方（签字）</w:t>
      </w:r>
    </w:p>
    <w:p w:rsidR="00A90197" w:rsidRDefault="00A90197" w:rsidP="00A90197">
      <w:pPr>
        <w:widowControl/>
        <w:spacing w:line="375" w:lineRule="atLeast"/>
        <w:ind w:firstLine="662"/>
        <w:jc w:val="left"/>
        <w:rPr>
          <w:rFonts w:ascii="Simsun" w:hAnsi="Simsun" w:cs="宋体" w:hint="eastAsia"/>
          <w:color w:val="000000"/>
          <w:kern w:val="0"/>
          <w:sz w:val="24"/>
        </w:rPr>
      </w:pPr>
      <w:r w:rsidRPr="00D578DA">
        <w:rPr>
          <w:rFonts w:ascii="Simsun" w:hAnsi="Simsun" w:cs="宋体"/>
          <w:color w:val="000000"/>
          <w:kern w:val="0"/>
          <w:sz w:val="24"/>
        </w:rPr>
        <w:t xml:space="preserve">     </w:t>
      </w:r>
      <w:r w:rsidRPr="00D578DA">
        <w:rPr>
          <w:rFonts w:ascii="Simsun" w:hAnsi="Simsun" w:cs="宋体"/>
          <w:color w:val="000000"/>
          <w:kern w:val="0"/>
          <w:sz w:val="24"/>
        </w:rPr>
        <w:t>年</w:t>
      </w:r>
      <w:r w:rsidRPr="00D578DA">
        <w:rPr>
          <w:rFonts w:ascii="Simsun" w:hAnsi="Simsun" w:cs="宋体"/>
          <w:color w:val="000000"/>
          <w:kern w:val="0"/>
          <w:sz w:val="24"/>
        </w:rPr>
        <w:t>  </w:t>
      </w:r>
      <w:r w:rsidRPr="00D578DA">
        <w:rPr>
          <w:rFonts w:ascii="Simsun" w:hAnsi="Simsun" w:cs="宋体"/>
          <w:color w:val="000000"/>
          <w:kern w:val="0"/>
          <w:sz w:val="24"/>
        </w:rPr>
        <w:t>月</w:t>
      </w:r>
      <w:r w:rsidRPr="00D578DA">
        <w:rPr>
          <w:rFonts w:ascii="Simsun" w:hAnsi="Simsun" w:cs="宋体"/>
          <w:color w:val="000000"/>
          <w:kern w:val="0"/>
          <w:sz w:val="24"/>
        </w:rPr>
        <w:t xml:space="preserve">   </w:t>
      </w:r>
      <w:r w:rsidRPr="00D578DA">
        <w:rPr>
          <w:rFonts w:ascii="Simsun" w:hAnsi="Simsun" w:cs="宋体"/>
          <w:color w:val="000000"/>
          <w:kern w:val="0"/>
          <w:sz w:val="24"/>
        </w:rPr>
        <w:t>日</w:t>
      </w:r>
      <w:r w:rsidRPr="00D578DA">
        <w:rPr>
          <w:rFonts w:ascii="Simsun" w:hAnsi="Simsun" w:cs="宋体"/>
          <w:color w:val="000000"/>
          <w:kern w:val="0"/>
          <w:sz w:val="24"/>
        </w:rPr>
        <w:t>                       </w:t>
      </w:r>
      <w:r w:rsidRPr="00D578DA">
        <w:rPr>
          <w:rFonts w:ascii="Simsun" w:hAnsi="Simsun" w:cs="宋体"/>
          <w:color w:val="000000"/>
          <w:kern w:val="0"/>
          <w:sz w:val="24"/>
        </w:rPr>
        <w:t>年</w:t>
      </w:r>
      <w:r w:rsidRPr="00D578DA">
        <w:rPr>
          <w:rFonts w:ascii="Simsun" w:hAnsi="Simsun" w:cs="宋体"/>
          <w:color w:val="000000"/>
          <w:kern w:val="0"/>
          <w:sz w:val="24"/>
        </w:rPr>
        <w:t>  </w:t>
      </w:r>
      <w:r w:rsidRPr="00D578DA">
        <w:rPr>
          <w:rFonts w:ascii="Simsun" w:hAnsi="Simsun" w:cs="宋体"/>
          <w:color w:val="000000"/>
          <w:kern w:val="0"/>
          <w:sz w:val="24"/>
        </w:rPr>
        <w:t>月</w:t>
      </w:r>
      <w:r w:rsidRPr="00D578DA">
        <w:rPr>
          <w:rFonts w:ascii="Simsun" w:hAnsi="Simsun" w:cs="宋体"/>
          <w:color w:val="000000"/>
          <w:kern w:val="0"/>
          <w:sz w:val="24"/>
        </w:rPr>
        <w:t>  </w:t>
      </w:r>
      <w:r w:rsidRPr="00D578DA">
        <w:rPr>
          <w:rFonts w:ascii="Simsun" w:hAnsi="Simsun" w:cs="宋体"/>
          <w:color w:val="000000"/>
          <w:kern w:val="0"/>
          <w:sz w:val="24"/>
        </w:rPr>
        <w:t>日</w:t>
      </w:r>
    </w:p>
    <w:p w:rsidR="00A90197" w:rsidRDefault="00A90197">
      <w:pPr>
        <w:widowControl/>
        <w:jc w:val="left"/>
        <w:rPr>
          <w:rFonts w:ascii="Simsun" w:hAnsi="Simsun" w:cs="宋体" w:hint="eastAsia"/>
          <w:color w:val="000000"/>
          <w:kern w:val="0"/>
          <w:sz w:val="24"/>
        </w:rPr>
      </w:pPr>
      <w:r>
        <w:rPr>
          <w:rFonts w:ascii="Simsun" w:hAnsi="Simsun" w:cs="宋体" w:hint="eastAsia"/>
          <w:color w:val="000000"/>
          <w:kern w:val="0"/>
          <w:sz w:val="24"/>
        </w:rPr>
        <w:br w:type="page"/>
      </w:r>
    </w:p>
    <w:p w:rsidR="00A90197" w:rsidRPr="00D578DA" w:rsidRDefault="00A90197" w:rsidP="00A90197">
      <w:pPr>
        <w:widowControl/>
        <w:spacing w:line="375" w:lineRule="atLeast"/>
        <w:jc w:val="left"/>
        <w:rPr>
          <w:rFonts w:ascii="Simsun" w:hAnsi="Simsun" w:cs="宋体"/>
          <w:color w:val="000000"/>
          <w:kern w:val="0"/>
          <w:sz w:val="27"/>
          <w:szCs w:val="27"/>
        </w:rPr>
      </w:pPr>
      <w:r w:rsidRPr="00D578DA">
        <w:rPr>
          <w:rFonts w:ascii="Simsun" w:hAnsi="Simsun" w:cs="宋体"/>
          <w:color w:val="000000"/>
          <w:kern w:val="0"/>
          <w:sz w:val="36"/>
          <w:szCs w:val="36"/>
        </w:rPr>
        <w:lastRenderedPageBreak/>
        <w:t>附件</w:t>
      </w:r>
      <w:r w:rsidRPr="00D578DA">
        <w:rPr>
          <w:rFonts w:ascii="Simsun" w:hAnsi="Simsun" w:cs="宋体"/>
          <w:color w:val="000000"/>
          <w:kern w:val="0"/>
          <w:sz w:val="36"/>
          <w:szCs w:val="36"/>
        </w:rPr>
        <w:t>2</w:t>
      </w:r>
    </w:p>
    <w:p w:rsidR="00A90197" w:rsidRPr="00D578DA" w:rsidRDefault="00A90197" w:rsidP="00A90197">
      <w:pPr>
        <w:widowControl/>
        <w:jc w:val="center"/>
        <w:rPr>
          <w:rFonts w:ascii="Simsun" w:hAnsi="Simsun" w:cs="宋体"/>
          <w:color w:val="000000"/>
          <w:kern w:val="0"/>
          <w:sz w:val="27"/>
          <w:szCs w:val="27"/>
        </w:rPr>
      </w:pPr>
      <w:r w:rsidRPr="00D578DA">
        <w:rPr>
          <w:rFonts w:ascii="Simsun" w:hAnsi="Simsun" w:cs="宋体"/>
          <w:color w:val="000000"/>
          <w:kern w:val="0"/>
          <w:sz w:val="27"/>
          <w:szCs w:val="27"/>
        </w:rPr>
        <w:t> </w:t>
      </w:r>
      <w:r w:rsidRPr="00D578DA">
        <w:rPr>
          <w:rFonts w:ascii="Simsun" w:hAnsi="Simsun" w:cs="宋体"/>
          <w:color w:val="000000"/>
          <w:kern w:val="0"/>
          <w:sz w:val="36"/>
          <w:szCs w:val="36"/>
        </w:rPr>
        <w:t>职业病危害</w:t>
      </w:r>
      <w:proofErr w:type="gramStart"/>
      <w:r w:rsidRPr="00D578DA">
        <w:rPr>
          <w:rFonts w:ascii="Simsun" w:hAnsi="Simsun" w:cs="宋体"/>
          <w:color w:val="000000"/>
          <w:kern w:val="0"/>
          <w:sz w:val="36"/>
          <w:szCs w:val="36"/>
        </w:rPr>
        <w:t>告知卡示例</w:t>
      </w:r>
      <w:proofErr w:type="gramEnd"/>
    </w:p>
    <w:p w:rsidR="00A90197" w:rsidRPr="00D578DA" w:rsidRDefault="00A90197" w:rsidP="00A90197">
      <w:pPr>
        <w:widowControl/>
        <w:jc w:val="left"/>
        <w:rPr>
          <w:rFonts w:ascii="Simsun" w:hAnsi="Simsun" w:cs="宋体"/>
          <w:color w:val="000000"/>
          <w:kern w:val="0"/>
          <w:sz w:val="27"/>
          <w:szCs w:val="27"/>
        </w:rPr>
      </w:pPr>
      <w:r w:rsidRPr="00D578DA">
        <w:rPr>
          <w:rFonts w:ascii="Simsun" w:hAnsi="Simsun" w:cs="宋体"/>
          <w:color w:val="000000"/>
          <w:kern w:val="0"/>
          <w:sz w:val="27"/>
          <w:szCs w:val="27"/>
        </w:rPr>
        <w:t> </w:t>
      </w:r>
    </w:p>
    <w:tbl>
      <w:tblPr>
        <w:tblW w:w="0" w:type="auto"/>
        <w:tblInd w:w="-504" w:type="dxa"/>
        <w:tblCellMar>
          <w:left w:w="0" w:type="dxa"/>
          <w:right w:w="0" w:type="dxa"/>
        </w:tblCellMar>
        <w:tblLook w:val="0000" w:firstRow="0" w:lastRow="0" w:firstColumn="0" w:lastColumn="0" w:noHBand="0" w:noVBand="0"/>
      </w:tblPr>
      <w:tblGrid>
        <w:gridCol w:w="2520"/>
        <w:gridCol w:w="4358"/>
        <w:gridCol w:w="2532"/>
      </w:tblGrid>
      <w:tr w:rsidR="00A90197" w:rsidRPr="00D578DA" w:rsidTr="00D40B48">
        <w:trPr>
          <w:trHeight w:val="518"/>
        </w:trPr>
        <w:tc>
          <w:tcPr>
            <w:tcW w:w="10076" w:type="dxa"/>
            <w:gridSpan w:val="3"/>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color w:val="FFFFFF"/>
                <w:kern w:val="0"/>
                <w:sz w:val="28"/>
                <w:szCs w:val="28"/>
                <w:shd w:val="clear" w:color="auto" w:fill="FF0000"/>
              </w:rPr>
              <w:t>工作场所存在苯，对人体有损害，请注意防护</w:t>
            </w:r>
          </w:p>
        </w:tc>
      </w:tr>
      <w:tr w:rsidR="00A90197" w:rsidRPr="00D578DA" w:rsidTr="00D40B48">
        <w:trPr>
          <w:trHeight w:val="343"/>
        </w:trPr>
        <w:tc>
          <w:tcPr>
            <w:tcW w:w="252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color w:val="000000"/>
                <w:kern w:val="0"/>
                <w:sz w:val="28"/>
                <w:szCs w:val="28"/>
              </w:rPr>
              <w:t>苯(皮)</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color w:val="000000"/>
                <w:kern w:val="0"/>
                <w:sz w:val="28"/>
                <w:szCs w:val="28"/>
              </w:rPr>
              <w:t>Benzene(skin)</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w:t>
            </w:r>
          </w:p>
        </w:tc>
        <w:tc>
          <w:tcPr>
            <w:tcW w:w="4807" w:type="dxa"/>
            <w:tcBorders>
              <w:top w:val="nil"/>
              <w:left w:val="nil"/>
              <w:bottom w:val="single" w:sz="8" w:space="0" w:color="000000"/>
              <w:right w:val="single" w:sz="8" w:space="0" w:color="000000"/>
            </w:tcBorders>
            <w:shd w:val="clear" w:color="auto" w:fill="3366FF"/>
            <w:tcMar>
              <w:top w:w="0" w:type="dxa"/>
              <w:left w:w="108" w:type="dxa"/>
              <w:bottom w:w="0" w:type="dxa"/>
              <w:right w:w="108" w:type="dxa"/>
            </w:tcMar>
            <w:vAlign w:val="bottom"/>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FFFFFF"/>
                <w:kern w:val="0"/>
                <w:sz w:val="24"/>
              </w:rPr>
              <w:t>理化特性</w:t>
            </w:r>
          </w:p>
        </w:tc>
        <w:tc>
          <w:tcPr>
            <w:tcW w:w="2749" w:type="dxa"/>
            <w:tcBorders>
              <w:top w:val="nil"/>
              <w:left w:val="nil"/>
              <w:bottom w:val="single" w:sz="8" w:space="0" w:color="000000"/>
              <w:right w:val="single" w:sz="8" w:space="0" w:color="000000"/>
            </w:tcBorders>
            <w:shd w:val="clear" w:color="auto" w:fill="3366FF"/>
            <w:tcMar>
              <w:top w:w="0" w:type="dxa"/>
              <w:left w:w="108" w:type="dxa"/>
              <w:bottom w:w="0" w:type="dxa"/>
              <w:right w:w="108" w:type="dxa"/>
            </w:tcMar>
            <w:vAlign w:val="bottom"/>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FFFFFF"/>
                <w:kern w:val="0"/>
                <w:sz w:val="24"/>
              </w:rPr>
              <w:t>健康危害</w:t>
            </w:r>
          </w:p>
        </w:tc>
      </w:tr>
      <w:tr w:rsidR="00A90197" w:rsidRPr="00D578DA" w:rsidTr="00D40B48">
        <w:trPr>
          <w:trHeight w:val="1389"/>
        </w:trPr>
        <w:tc>
          <w:tcPr>
            <w:tcW w:w="0" w:type="auto"/>
            <w:vMerge/>
            <w:tcBorders>
              <w:top w:val="nil"/>
              <w:left w:val="single" w:sz="8" w:space="0" w:color="000000"/>
              <w:bottom w:val="single" w:sz="8" w:space="0" w:color="000000"/>
              <w:right w:val="single" w:sz="8" w:space="0" w:color="000000"/>
            </w:tcBorders>
            <w:vAlign w:val="center"/>
          </w:tcPr>
          <w:p w:rsidR="00A90197" w:rsidRPr="00D578DA" w:rsidRDefault="00A90197" w:rsidP="00D40B48">
            <w:pPr>
              <w:widowControl/>
              <w:jc w:val="left"/>
              <w:rPr>
                <w:rFonts w:ascii="宋体" w:hAnsi="宋体" w:cs="宋体"/>
                <w:kern w:val="0"/>
                <w:sz w:val="24"/>
              </w:rPr>
            </w:pPr>
          </w:p>
        </w:tc>
        <w:tc>
          <w:tcPr>
            <w:tcW w:w="4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000000"/>
                <w:kern w:val="0"/>
                <w:sz w:val="24"/>
              </w:rPr>
              <w:t>具有特殊芳香气味的无色油状液体，相对分子质量78，易燃、易挥发。不溶于水，可与乙醚、乙醇、丙酮、汽油和二硫化碳等有机溶剂混溶；遇氧化剂或卤素剧烈反应；苯</w:t>
            </w:r>
            <w:proofErr w:type="gramStart"/>
            <w:r w:rsidRPr="00D578DA">
              <w:rPr>
                <w:rFonts w:ascii="宋体" w:hAnsi="宋体" w:cs="宋体"/>
                <w:color w:val="000000"/>
                <w:kern w:val="0"/>
                <w:sz w:val="24"/>
              </w:rPr>
              <w:t>蒸气</w:t>
            </w:r>
            <w:proofErr w:type="gramEnd"/>
            <w:r w:rsidRPr="00D578DA">
              <w:rPr>
                <w:rFonts w:ascii="宋体" w:hAnsi="宋体" w:cs="宋体"/>
                <w:color w:val="000000"/>
                <w:kern w:val="0"/>
                <w:sz w:val="24"/>
              </w:rPr>
              <w:t>与空气形成爆炸性混合物，遇明火、高热极易燃烧爆炸。</w:t>
            </w:r>
          </w:p>
        </w:tc>
        <w:tc>
          <w:tcPr>
            <w:tcW w:w="27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000000"/>
                <w:kern w:val="0"/>
                <w:sz w:val="24"/>
              </w:rPr>
              <w:t>可经皮肤、呼吸道进入人体。</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000000"/>
                <w:kern w:val="0"/>
                <w:sz w:val="24"/>
              </w:rPr>
              <w:t>主要损害神经和造血系统。</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000000"/>
                <w:kern w:val="0"/>
                <w:sz w:val="24"/>
              </w:rPr>
              <w:t>短时间大量接触可引起头晕、头痛、恶心、呕吐、嗜睡、步态不稳，重者发生抽搐、昏迷。长期过量接触可引起白细胞减少、再生障碍性贫血、白血病。</w:t>
            </w:r>
          </w:p>
        </w:tc>
      </w:tr>
      <w:tr w:rsidR="00A90197" w:rsidRPr="00D578DA" w:rsidTr="00D40B48">
        <w:trPr>
          <w:trHeight w:val="143"/>
        </w:trPr>
        <w:tc>
          <w:tcPr>
            <w:tcW w:w="2520"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90197" w:rsidRPr="00D578DA" w:rsidRDefault="00A90197" w:rsidP="00D40B48">
            <w:pPr>
              <w:widowControl/>
              <w:spacing w:before="100" w:beforeAutospacing="1" w:after="100" w:afterAutospacing="1"/>
              <w:ind w:firstLine="240"/>
              <w:jc w:val="left"/>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line="143" w:lineRule="atLeast"/>
              <w:ind w:firstLine="420"/>
              <w:jc w:val="left"/>
              <w:rPr>
                <w:rFonts w:ascii="宋体" w:hAnsi="宋体" w:cs="宋体"/>
                <w:kern w:val="0"/>
                <w:sz w:val="24"/>
              </w:rPr>
            </w:pPr>
            <w:r w:rsidRPr="00D578DA">
              <w:rPr>
                <w:rFonts w:ascii="宋体" w:hAnsi="宋体" w:cs="宋体"/>
                <w:kern w:val="0"/>
                <w:sz w:val="24"/>
              </w:rPr>
              <w:t> </w:t>
            </w:r>
          </w:p>
        </w:tc>
        <w:tc>
          <w:tcPr>
            <w:tcW w:w="7556" w:type="dxa"/>
            <w:gridSpan w:val="2"/>
            <w:tcBorders>
              <w:top w:val="nil"/>
              <w:left w:val="nil"/>
              <w:bottom w:val="single" w:sz="8" w:space="0" w:color="000000"/>
              <w:right w:val="single" w:sz="8" w:space="0" w:color="000000"/>
            </w:tcBorders>
            <w:shd w:val="clear" w:color="auto" w:fill="3366FF"/>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line="143" w:lineRule="atLeast"/>
              <w:jc w:val="left"/>
              <w:rPr>
                <w:rFonts w:ascii="宋体" w:hAnsi="宋体" w:cs="宋体"/>
                <w:kern w:val="0"/>
                <w:sz w:val="24"/>
              </w:rPr>
            </w:pPr>
            <w:r w:rsidRPr="00D578DA">
              <w:rPr>
                <w:rFonts w:ascii="宋体" w:hAnsi="宋体" w:cs="宋体"/>
                <w:color w:val="FFFFFF"/>
                <w:kern w:val="0"/>
                <w:sz w:val="24"/>
              </w:rPr>
              <w:t>应急处理</w:t>
            </w:r>
          </w:p>
        </w:tc>
      </w:tr>
      <w:tr w:rsidR="00A90197" w:rsidRPr="00D578DA" w:rsidTr="00D40B48">
        <w:trPr>
          <w:trHeight w:val="153"/>
        </w:trPr>
        <w:tc>
          <w:tcPr>
            <w:tcW w:w="0" w:type="auto"/>
            <w:vMerge/>
            <w:tcBorders>
              <w:top w:val="nil"/>
              <w:left w:val="single" w:sz="8" w:space="0" w:color="000000"/>
              <w:bottom w:val="single" w:sz="8" w:space="0" w:color="000000"/>
              <w:right w:val="single" w:sz="8" w:space="0" w:color="000000"/>
            </w:tcBorders>
            <w:vAlign w:val="center"/>
          </w:tcPr>
          <w:p w:rsidR="00A90197" w:rsidRPr="00D578DA" w:rsidRDefault="00A90197" w:rsidP="00D40B48">
            <w:pPr>
              <w:widowControl/>
              <w:jc w:val="left"/>
              <w:rPr>
                <w:rFonts w:ascii="宋体" w:hAnsi="宋体" w:cs="宋体"/>
                <w:kern w:val="0"/>
                <w:sz w:val="24"/>
              </w:rPr>
            </w:pPr>
          </w:p>
        </w:tc>
        <w:tc>
          <w:tcPr>
            <w:tcW w:w="75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90197" w:rsidRPr="00D578DA" w:rsidRDefault="00A90197" w:rsidP="00D40B48">
            <w:pPr>
              <w:widowControl/>
              <w:spacing w:before="100" w:beforeAutospacing="1" w:after="100" w:afterAutospacing="1" w:line="153" w:lineRule="atLeast"/>
              <w:jc w:val="left"/>
              <w:rPr>
                <w:rFonts w:ascii="宋体" w:hAnsi="宋体" w:cs="宋体"/>
                <w:kern w:val="0"/>
                <w:sz w:val="24"/>
              </w:rPr>
            </w:pPr>
            <w:r w:rsidRPr="00D578DA">
              <w:rPr>
                <w:rFonts w:ascii="宋体" w:hAnsi="宋体" w:cs="宋体"/>
                <w:color w:val="000000"/>
                <w:kern w:val="0"/>
                <w:sz w:val="24"/>
              </w:rPr>
              <w:t>抢救人员穿戴防护用具；立即将患者移至空气新鲜处，去除污染衣物；注意保暖、安静；皮肤污染时用肥皂水清洗，溅入眼内时用流动清水或生理盐水冲洗，</w:t>
            </w:r>
            <w:proofErr w:type="gramStart"/>
            <w:r w:rsidRPr="00D578DA">
              <w:rPr>
                <w:rFonts w:ascii="宋体" w:hAnsi="宋体" w:cs="宋体"/>
                <w:color w:val="000000"/>
                <w:kern w:val="0"/>
                <w:sz w:val="24"/>
              </w:rPr>
              <w:t>各至少</w:t>
            </w:r>
            <w:proofErr w:type="gramEnd"/>
            <w:r w:rsidRPr="00D578DA">
              <w:rPr>
                <w:rFonts w:ascii="宋体" w:hAnsi="宋体" w:cs="宋体"/>
                <w:color w:val="000000"/>
                <w:kern w:val="0"/>
                <w:sz w:val="24"/>
              </w:rPr>
              <w:t>20分钟；呼吸困难时给与吸氧，必要时用合适的呼吸器进行人工呼吸；立即与医疗急救单位联系抢救。</w:t>
            </w:r>
          </w:p>
        </w:tc>
      </w:tr>
      <w:tr w:rsidR="00A90197" w:rsidRPr="00D578DA" w:rsidTr="00D40B48">
        <w:trPr>
          <w:trHeight w:val="287"/>
        </w:trPr>
        <w:tc>
          <w:tcPr>
            <w:tcW w:w="0" w:type="auto"/>
            <w:vMerge/>
            <w:tcBorders>
              <w:top w:val="nil"/>
              <w:left w:val="single" w:sz="8" w:space="0" w:color="000000"/>
              <w:bottom w:val="single" w:sz="8" w:space="0" w:color="000000"/>
              <w:right w:val="single" w:sz="8" w:space="0" w:color="000000"/>
            </w:tcBorders>
            <w:vAlign w:val="center"/>
          </w:tcPr>
          <w:p w:rsidR="00A90197" w:rsidRPr="00D578DA" w:rsidRDefault="00A90197" w:rsidP="00D40B48">
            <w:pPr>
              <w:widowControl/>
              <w:jc w:val="left"/>
              <w:rPr>
                <w:rFonts w:ascii="宋体" w:hAnsi="宋体" w:cs="宋体"/>
                <w:kern w:val="0"/>
                <w:sz w:val="24"/>
              </w:rPr>
            </w:pPr>
          </w:p>
        </w:tc>
        <w:tc>
          <w:tcPr>
            <w:tcW w:w="7556" w:type="dxa"/>
            <w:gridSpan w:val="2"/>
            <w:tcBorders>
              <w:top w:val="nil"/>
              <w:left w:val="nil"/>
              <w:bottom w:val="single" w:sz="8" w:space="0" w:color="000000"/>
              <w:right w:val="single" w:sz="8" w:space="0" w:color="000000"/>
            </w:tcBorders>
            <w:shd w:val="clear" w:color="auto" w:fill="3366FF"/>
            <w:tcMar>
              <w:top w:w="0" w:type="dxa"/>
              <w:left w:w="108" w:type="dxa"/>
              <w:bottom w:w="0" w:type="dxa"/>
              <w:right w:w="108" w:type="dxa"/>
            </w:tcMar>
            <w:vAlign w:val="bottom"/>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color w:val="FFFFFF"/>
                <w:kern w:val="0"/>
                <w:sz w:val="24"/>
              </w:rPr>
              <w:t>防护措施</w:t>
            </w:r>
          </w:p>
        </w:tc>
      </w:tr>
      <w:tr w:rsidR="00A90197" w:rsidRPr="00D578DA" w:rsidTr="00D40B48">
        <w:trPr>
          <w:trHeight w:val="153"/>
        </w:trPr>
        <w:tc>
          <w:tcPr>
            <w:tcW w:w="0" w:type="auto"/>
            <w:vMerge/>
            <w:tcBorders>
              <w:top w:val="nil"/>
              <w:left w:val="single" w:sz="8" w:space="0" w:color="000000"/>
              <w:bottom w:val="single" w:sz="8" w:space="0" w:color="000000"/>
              <w:right w:val="single" w:sz="8" w:space="0" w:color="000000"/>
            </w:tcBorders>
            <w:vAlign w:val="center"/>
          </w:tcPr>
          <w:p w:rsidR="00A90197" w:rsidRPr="00D578DA" w:rsidRDefault="00A90197" w:rsidP="00D40B48">
            <w:pPr>
              <w:widowControl/>
              <w:jc w:val="left"/>
              <w:rPr>
                <w:rFonts w:ascii="宋体" w:hAnsi="宋体" w:cs="宋体"/>
                <w:kern w:val="0"/>
                <w:sz w:val="24"/>
              </w:rPr>
            </w:pPr>
          </w:p>
        </w:tc>
        <w:tc>
          <w:tcPr>
            <w:tcW w:w="75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line="153" w:lineRule="atLeast"/>
              <w:jc w:val="left"/>
              <w:rPr>
                <w:rFonts w:ascii="宋体" w:hAnsi="宋体" w:cs="宋体"/>
                <w:kern w:val="0"/>
                <w:sz w:val="24"/>
              </w:rPr>
            </w:pPr>
            <w:r w:rsidRPr="00D578DA">
              <w:rPr>
                <w:rFonts w:ascii="宋体" w:hAnsi="宋体" w:cs="宋体"/>
                <w:color w:val="000000"/>
                <w:kern w:val="0"/>
                <w:sz w:val="24"/>
              </w:rPr>
              <w:t>禁止明火、火花，高热，使用防爆电器和照明设备。工作场所禁止饮食、吸烟。</w:t>
            </w:r>
          </w:p>
        </w:tc>
      </w:tr>
      <w:tr w:rsidR="00A90197" w:rsidRPr="00D578DA" w:rsidTr="00D40B48">
        <w:trPr>
          <w:trHeight w:val="1693"/>
        </w:trPr>
        <w:tc>
          <w:tcPr>
            <w:tcW w:w="0" w:type="auto"/>
            <w:vMerge/>
            <w:tcBorders>
              <w:top w:val="nil"/>
              <w:left w:val="single" w:sz="8" w:space="0" w:color="000000"/>
              <w:bottom w:val="single" w:sz="8" w:space="0" w:color="000000"/>
              <w:right w:val="single" w:sz="8" w:space="0" w:color="000000"/>
            </w:tcBorders>
            <w:vAlign w:val="center"/>
          </w:tcPr>
          <w:p w:rsidR="00A90197" w:rsidRPr="00D578DA" w:rsidRDefault="00A90197" w:rsidP="00D40B48">
            <w:pPr>
              <w:widowControl/>
              <w:jc w:val="left"/>
              <w:rPr>
                <w:rFonts w:ascii="宋体" w:hAnsi="宋体" w:cs="宋体"/>
                <w:kern w:val="0"/>
                <w:sz w:val="24"/>
              </w:rPr>
            </w:pPr>
          </w:p>
        </w:tc>
        <w:tc>
          <w:tcPr>
            <w:tcW w:w="75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必须戴防毒面具 注意通风 必须戴防护手套 必须戴防护眼镜 必须穿防护服</w:t>
            </w:r>
          </w:p>
        </w:tc>
      </w:tr>
      <w:tr w:rsidR="00A90197" w:rsidRPr="00D578DA" w:rsidTr="00D40B48">
        <w:trPr>
          <w:trHeight w:val="498"/>
        </w:trPr>
        <w:tc>
          <w:tcPr>
            <w:tcW w:w="10076"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2"/>
              </w:rPr>
              <w:t>标准限值：xxx                   检测数据：xxx                 检测日期：</w:t>
            </w:r>
            <w:proofErr w:type="spellStart"/>
            <w:r w:rsidRPr="00D578DA">
              <w:rPr>
                <w:rFonts w:ascii="宋体" w:hAnsi="宋体" w:cs="宋体"/>
                <w:kern w:val="0"/>
                <w:sz w:val="22"/>
              </w:rPr>
              <w:t>xxxx</w:t>
            </w:r>
            <w:proofErr w:type="spellEnd"/>
            <w:r w:rsidRPr="00D578DA">
              <w:rPr>
                <w:rFonts w:ascii="宋体" w:hAnsi="宋体" w:cs="宋体"/>
                <w:kern w:val="0"/>
                <w:sz w:val="22"/>
              </w:rPr>
              <w:t>年x月x日</w:t>
            </w:r>
          </w:p>
        </w:tc>
      </w:tr>
      <w:tr w:rsidR="00A90197" w:rsidRPr="00D578DA" w:rsidTr="00D40B48">
        <w:trPr>
          <w:trHeight w:val="153"/>
        </w:trPr>
        <w:tc>
          <w:tcPr>
            <w:tcW w:w="10076" w:type="dxa"/>
            <w:gridSpan w:val="3"/>
            <w:tcBorders>
              <w:top w:val="nil"/>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line="153" w:lineRule="atLeast"/>
              <w:ind w:firstLine="620"/>
              <w:jc w:val="left"/>
              <w:rPr>
                <w:rFonts w:ascii="宋体" w:hAnsi="宋体" w:cs="宋体"/>
                <w:kern w:val="0"/>
                <w:sz w:val="24"/>
              </w:rPr>
            </w:pPr>
            <w:r w:rsidRPr="00D578DA">
              <w:rPr>
                <w:rFonts w:ascii="宋体" w:hAnsi="宋体" w:cs="宋体"/>
                <w:color w:val="FFFFFF"/>
                <w:kern w:val="0"/>
                <w:sz w:val="24"/>
              </w:rPr>
              <w:t>急救电话：120       消防电话：119       职业卫生咨询电话 :</w:t>
            </w:r>
            <w:proofErr w:type="spellStart"/>
            <w:r w:rsidRPr="00D578DA">
              <w:rPr>
                <w:rFonts w:ascii="宋体" w:hAnsi="宋体" w:cs="宋体"/>
                <w:color w:val="FFFFFF"/>
                <w:kern w:val="0"/>
                <w:sz w:val="24"/>
              </w:rPr>
              <w:t>xxxxxxxx</w:t>
            </w:r>
            <w:proofErr w:type="spellEnd"/>
          </w:p>
        </w:tc>
      </w:tr>
    </w:tbl>
    <w:p w:rsidR="00A90197" w:rsidRPr="00D578DA" w:rsidRDefault="00A90197" w:rsidP="00A90197">
      <w:pPr>
        <w:widowControl/>
        <w:jc w:val="left"/>
        <w:rPr>
          <w:rFonts w:ascii="Simsun" w:hAnsi="Simsun" w:cs="宋体"/>
          <w:color w:val="000000"/>
          <w:kern w:val="0"/>
          <w:sz w:val="27"/>
          <w:szCs w:val="27"/>
        </w:rPr>
      </w:pPr>
      <w:r w:rsidRPr="00D578DA">
        <w:rPr>
          <w:rFonts w:ascii="Simsun" w:hAnsi="Simsun" w:cs="宋体"/>
          <w:color w:val="000000"/>
          <w:kern w:val="0"/>
          <w:sz w:val="27"/>
          <w:szCs w:val="27"/>
        </w:rPr>
        <w:t> </w:t>
      </w:r>
    </w:p>
    <w:p w:rsidR="00A90197" w:rsidRPr="00AD492E" w:rsidRDefault="00A90197" w:rsidP="00A90197"/>
    <w:p w:rsidR="00A90197" w:rsidRDefault="00A90197">
      <w:pPr>
        <w:widowControl/>
        <w:jc w:val="left"/>
      </w:pPr>
      <w:r>
        <w:br w:type="page"/>
      </w:r>
    </w:p>
    <w:p w:rsidR="00A90197" w:rsidRPr="00D578DA" w:rsidRDefault="00A90197" w:rsidP="00A90197">
      <w:pPr>
        <w:widowControl/>
        <w:jc w:val="left"/>
        <w:rPr>
          <w:rFonts w:ascii="Simsun" w:hAnsi="Simsun" w:cs="宋体"/>
          <w:color w:val="000000"/>
          <w:kern w:val="0"/>
          <w:sz w:val="27"/>
          <w:szCs w:val="27"/>
        </w:rPr>
      </w:pPr>
      <w:r w:rsidRPr="00D578DA">
        <w:rPr>
          <w:rFonts w:ascii="Simsun" w:hAnsi="Simsun" w:cs="宋体"/>
          <w:color w:val="000000"/>
          <w:kern w:val="0"/>
          <w:sz w:val="36"/>
          <w:szCs w:val="36"/>
        </w:rPr>
        <w:lastRenderedPageBreak/>
        <w:t>附件</w:t>
      </w:r>
      <w:r w:rsidRPr="00D578DA">
        <w:rPr>
          <w:rFonts w:ascii="Simsun" w:hAnsi="Simsun" w:cs="宋体"/>
          <w:color w:val="000000"/>
          <w:kern w:val="0"/>
          <w:sz w:val="36"/>
          <w:szCs w:val="36"/>
        </w:rPr>
        <w:t>3</w:t>
      </w:r>
    </w:p>
    <w:p w:rsidR="00A90197" w:rsidRPr="00D578DA" w:rsidRDefault="00A90197" w:rsidP="00A90197">
      <w:pPr>
        <w:widowControl/>
        <w:jc w:val="center"/>
        <w:rPr>
          <w:rFonts w:ascii="Simsun" w:hAnsi="Simsun" w:cs="宋体"/>
          <w:color w:val="000000"/>
          <w:kern w:val="0"/>
          <w:sz w:val="27"/>
          <w:szCs w:val="27"/>
        </w:rPr>
      </w:pPr>
      <w:r w:rsidRPr="00D578DA">
        <w:rPr>
          <w:rFonts w:ascii="Simsun" w:hAnsi="Simsun" w:cs="宋体"/>
          <w:color w:val="000000"/>
          <w:kern w:val="0"/>
          <w:sz w:val="27"/>
          <w:szCs w:val="27"/>
        </w:rPr>
        <w:t> </w:t>
      </w:r>
      <w:r w:rsidRPr="00D578DA">
        <w:rPr>
          <w:rFonts w:ascii="Simsun" w:hAnsi="Simsun" w:cs="宋体"/>
          <w:color w:val="000000"/>
          <w:kern w:val="0"/>
          <w:sz w:val="36"/>
          <w:szCs w:val="36"/>
        </w:rPr>
        <w:t>中文警示说明示例</w:t>
      </w:r>
    </w:p>
    <w:p w:rsidR="00A90197" w:rsidRPr="00D578DA" w:rsidRDefault="00A90197" w:rsidP="00A90197">
      <w:pPr>
        <w:widowControl/>
        <w:jc w:val="center"/>
        <w:rPr>
          <w:rFonts w:ascii="Simsun" w:hAnsi="Simsun" w:cs="宋体"/>
          <w:color w:val="000000"/>
          <w:kern w:val="0"/>
          <w:sz w:val="27"/>
          <w:szCs w:val="27"/>
        </w:rPr>
      </w:pPr>
      <w:r w:rsidRPr="00D578DA">
        <w:rPr>
          <w:rFonts w:ascii="Simsun" w:hAnsi="Simsun" w:cs="宋体"/>
          <w:color w:val="000000"/>
          <w:kern w:val="0"/>
          <w:sz w:val="27"/>
          <w:szCs w:val="27"/>
        </w:rPr>
        <w:t> </w:t>
      </w:r>
    </w:p>
    <w:p w:rsidR="00A90197" w:rsidRPr="00D578DA" w:rsidRDefault="00A90197" w:rsidP="00A90197">
      <w:pPr>
        <w:widowControl/>
        <w:jc w:val="left"/>
        <w:rPr>
          <w:rFonts w:ascii="Simsun" w:hAnsi="Simsun" w:cs="宋体"/>
          <w:color w:val="000000"/>
          <w:kern w:val="0"/>
          <w:sz w:val="27"/>
          <w:szCs w:val="27"/>
        </w:rPr>
      </w:pPr>
      <w:r w:rsidRPr="00D578DA">
        <w:rPr>
          <w:rFonts w:ascii="Simsun" w:hAnsi="Simsun" w:cs="宋体"/>
          <w:color w:val="000000"/>
          <w:kern w:val="0"/>
          <w:sz w:val="27"/>
          <w:szCs w:val="27"/>
        </w:rPr>
        <w:t>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outset" w:sz="6" w:space="0" w:color="F0F0F0"/>
        </w:tblBorders>
        <w:tblCellMar>
          <w:left w:w="0" w:type="dxa"/>
          <w:right w:w="0" w:type="dxa"/>
        </w:tblCellMar>
        <w:tblLook w:val="0000" w:firstRow="0" w:lastRow="0" w:firstColumn="0" w:lastColumn="0" w:noHBand="0" w:noVBand="0"/>
      </w:tblPr>
      <w:tblGrid>
        <w:gridCol w:w="1586"/>
        <w:gridCol w:w="7212"/>
      </w:tblGrid>
      <w:tr w:rsidR="00A90197" w:rsidRPr="00D578DA" w:rsidTr="00D40B48">
        <w:trPr>
          <w:trHeight w:val="930"/>
        </w:trPr>
        <w:tc>
          <w:tcPr>
            <w:tcW w:w="9072" w:type="dxa"/>
            <w:gridSpan w:val="2"/>
            <w:shd w:val="clear" w:color="auto" w:fill="auto"/>
            <w:tcMar>
              <w:top w:w="0" w:type="dxa"/>
              <w:left w:w="108" w:type="dxa"/>
              <w:bottom w:w="0" w:type="dxa"/>
              <w:right w:w="108" w:type="dxa"/>
            </w:tcMa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甲醛</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分子式：HCHO    分子量 30.03</w:t>
            </w:r>
          </w:p>
        </w:tc>
      </w:tr>
      <w:tr w:rsidR="00A90197" w:rsidRPr="00D578DA" w:rsidTr="00D40B48">
        <w:trPr>
          <w:trHeight w:val="1293"/>
        </w:trPr>
        <w:tc>
          <w:tcPr>
            <w:tcW w:w="1634"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理化特性</w:t>
            </w:r>
          </w:p>
        </w:tc>
        <w:tc>
          <w:tcPr>
            <w:tcW w:w="7438"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ind w:firstLine="480"/>
              <w:jc w:val="left"/>
              <w:rPr>
                <w:rFonts w:ascii="宋体" w:hAnsi="宋体" w:cs="宋体"/>
                <w:kern w:val="0"/>
                <w:sz w:val="24"/>
              </w:rPr>
            </w:pPr>
            <w:r w:rsidRPr="00D578DA">
              <w:rPr>
                <w:rFonts w:ascii="宋体" w:hAnsi="宋体" w:cs="宋体"/>
                <w:kern w:val="0"/>
                <w:sz w:val="24"/>
              </w:rPr>
              <w:t>常温为无色、有刺激性气味的气体，沸点：―</w:t>
            </w:r>
            <w:smartTag w:uri="urn:schemas-microsoft-com:office:smarttags" w:element="chmetcnv">
              <w:smartTagPr>
                <w:attr w:name="TCSC" w:val="0"/>
                <w:attr w:name="NumberType" w:val="1"/>
                <w:attr w:name="Negative" w:val="False"/>
                <w:attr w:name="HasSpace" w:val="False"/>
                <w:attr w:name="SourceValue" w:val="19.5"/>
                <w:attr w:name="UnitName" w:val="℃"/>
              </w:smartTagPr>
              <w:r w:rsidRPr="00D578DA">
                <w:rPr>
                  <w:rFonts w:ascii="宋体" w:hAnsi="宋体" w:cs="宋体"/>
                  <w:kern w:val="0"/>
                  <w:sz w:val="24"/>
                </w:rPr>
                <w:t>19.5℃</w:t>
              </w:r>
            </w:smartTag>
            <w:r w:rsidRPr="00D578DA">
              <w:rPr>
                <w:rFonts w:ascii="宋体" w:hAnsi="宋体" w:cs="宋体"/>
                <w:kern w:val="0"/>
                <w:sz w:val="24"/>
              </w:rPr>
              <w:t>，能溶于水、醇、醚，水溶液称福尔马林，杀菌能力极强。</w:t>
            </w:r>
            <w:smartTag w:uri="urn:schemas-microsoft-com:office:smarttags" w:element="chmetcnv">
              <w:smartTagPr>
                <w:attr w:name="TCSC" w:val="0"/>
                <w:attr w:name="NumberType" w:val="1"/>
                <w:attr w:name="Negative" w:val="False"/>
                <w:attr w:name="HasSpace" w:val="False"/>
                <w:attr w:name="SourceValue" w:val="15"/>
                <w:attr w:name="UnitName" w:val="℃"/>
              </w:smartTagPr>
              <w:r w:rsidRPr="00D578DA">
                <w:rPr>
                  <w:rFonts w:ascii="宋体" w:hAnsi="宋体" w:cs="宋体"/>
                  <w:kern w:val="0"/>
                  <w:sz w:val="24"/>
                </w:rPr>
                <w:t>15℃</w:t>
              </w:r>
            </w:smartTag>
            <w:r w:rsidRPr="00D578DA">
              <w:rPr>
                <w:rFonts w:ascii="宋体" w:hAnsi="宋体" w:cs="宋体"/>
                <w:kern w:val="0"/>
                <w:sz w:val="24"/>
              </w:rPr>
              <w:t>以下易聚合，置空气中氧化为甲酸。</w:t>
            </w:r>
          </w:p>
        </w:tc>
      </w:tr>
      <w:tr w:rsidR="00A90197" w:rsidRPr="00D578DA" w:rsidTr="00D40B48">
        <w:trPr>
          <w:trHeight w:val="549"/>
        </w:trPr>
        <w:tc>
          <w:tcPr>
            <w:tcW w:w="1634"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可能产生的危害后果</w:t>
            </w:r>
          </w:p>
        </w:tc>
        <w:tc>
          <w:tcPr>
            <w:tcW w:w="7438"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ind w:firstLine="480"/>
              <w:rPr>
                <w:rFonts w:ascii="宋体" w:hAnsi="宋体" w:cs="宋体"/>
                <w:kern w:val="0"/>
                <w:sz w:val="24"/>
              </w:rPr>
            </w:pPr>
            <w:r w:rsidRPr="00D578DA">
              <w:rPr>
                <w:rFonts w:ascii="宋体" w:hAnsi="宋体" w:cs="宋体"/>
                <w:kern w:val="0"/>
                <w:sz w:val="24"/>
              </w:rPr>
              <w:t>低浓度甲醛</w:t>
            </w:r>
            <w:proofErr w:type="gramStart"/>
            <w:r w:rsidRPr="00D578DA">
              <w:rPr>
                <w:rFonts w:ascii="宋体" w:hAnsi="宋体" w:cs="宋体"/>
                <w:kern w:val="0"/>
                <w:sz w:val="24"/>
              </w:rPr>
              <w:t>蒸气</w:t>
            </w:r>
            <w:proofErr w:type="gramEnd"/>
            <w:r w:rsidRPr="00D578DA">
              <w:rPr>
                <w:rFonts w:ascii="宋体" w:hAnsi="宋体" w:cs="宋体"/>
                <w:kern w:val="0"/>
                <w:sz w:val="24"/>
              </w:rPr>
              <w:t>对眼、上呼吸道粘膜有强烈刺激作用，高浓度甲醛</w:t>
            </w:r>
            <w:proofErr w:type="gramStart"/>
            <w:r w:rsidRPr="00D578DA">
              <w:rPr>
                <w:rFonts w:ascii="宋体" w:hAnsi="宋体" w:cs="宋体"/>
                <w:kern w:val="0"/>
                <w:sz w:val="24"/>
              </w:rPr>
              <w:t>蒸气</w:t>
            </w:r>
            <w:proofErr w:type="gramEnd"/>
            <w:r w:rsidRPr="00D578DA">
              <w:rPr>
                <w:rFonts w:ascii="宋体" w:hAnsi="宋体" w:cs="宋体"/>
                <w:kern w:val="0"/>
                <w:sz w:val="24"/>
              </w:rPr>
              <w:t>对中枢神经系统有毒性作用，可引起中毒性肺水肿。</w:t>
            </w:r>
          </w:p>
          <w:p w:rsidR="00A90197" w:rsidRPr="00D578DA" w:rsidRDefault="00A90197" w:rsidP="00D40B48">
            <w:pPr>
              <w:widowControl/>
              <w:spacing w:before="100" w:beforeAutospacing="1" w:after="100" w:afterAutospacing="1"/>
              <w:ind w:firstLine="480"/>
              <w:jc w:val="left"/>
              <w:rPr>
                <w:rFonts w:ascii="宋体" w:hAnsi="宋体" w:cs="宋体"/>
                <w:kern w:val="0"/>
                <w:sz w:val="24"/>
              </w:rPr>
            </w:pPr>
            <w:r w:rsidRPr="00D578DA">
              <w:rPr>
                <w:rFonts w:ascii="宋体" w:hAnsi="宋体" w:cs="宋体"/>
                <w:kern w:val="0"/>
                <w:sz w:val="24"/>
              </w:rPr>
              <w:t>主要症状：眼痛流泪、喉痒及胸闷、咳嗽、呼吸困难，口腔糜烂、上腹痛、吐血，眩晕、恐慌不安、步态不稳、甚至昏迷。皮肤接触可引起皮炎，有红斑、丘疹、瘙痒、组织坏死等。</w:t>
            </w:r>
          </w:p>
        </w:tc>
      </w:tr>
      <w:tr w:rsidR="00A90197" w:rsidRPr="00D578DA" w:rsidTr="00D40B48">
        <w:trPr>
          <w:trHeight w:val="549"/>
        </w:trPr>
        <w:tc>
          <w:tcPr>
            <w:tcW w:w="1634"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 </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职业病危害</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防护措施</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 </w:t>
            </w:r>
          </w:p>
        </w:tc>
        <w:tc>
          <w:tcPr>
            <w:tcW w:w="7438"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ind w:firstLine="480"/>
              <w:jc w:val="left"/>
              <w:rPr>
                <w:rFonts w:ascii="宋体" w:hAnsi="宋体" w:cs="宋体"/>
                <w:kern w:val="0"/>
                <w:sz w:val="24"/>
              </w:rPr>
            </w:pPr>
            <w:r w:rsidRPr="00D578DA">
              <w:rPr>
                <w:rFonts w:ascii="宋体" w:hAnsi="宋体" w:cs="宋体"/>
                <w:kern w:val="0"/>
                <w:sz w:val="24"/>
              </w:rPr>
              <w:t>1．使用甲醛设备应密闭，不能密闭的应加强通风排毒。</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2．注意个人防护，穿戴防护用品。</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3．严格遵守安全操作规程。</w:t>
            </w:r>
          </w:p>
        </w:tc>
      </w:tr>
      <w:tr w:rsidR="00A90197" w:rsidRPr="00D578DA" w:rsidTr="00D40B48">
        <w:trPr>
          <w:trHeight w:val="1360"/>
        </w:trPr>
        <w:tc>
          <w:tcPr>
            <w:tcW w:w="1634"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应急救治</w:t>
            </w:r>
          </w:p>
          <w:p w:rsidR="00A90197" w:rsidRPr="00D578DA" w:rsidRDefault="00A90197" w:rsidP="00D40B48">
            <w:pPr>
              <w:widowControl/>
              <w:spacing w:before="100" w:beforeAutospacing="1" w:after="100" w:afterAutospacing="1"/>
              <w:jc w:val="center"/>
              <w:rPr>
                <w:rFonts w:ascii="宋体" w:hAnsi="宋体" w:cs="宋体"/>
                <w:kern w:val="0"/>
                <w:sz w:val="24"/>
              </w:rPr>
            </w:pPr>
            <w:r w:rsidRPr="00D578DA">
              <w:rPr>
                <w:rFonts w:ascii="宋体" w:hAnsi="宋体" w:cs="宋体"/>
                <w:kern w:val="0"/>
                <w:sz w:val="24"/>
              </w:rPr>
              <w:t>措施</w:t>
            </w:r>
          </w:p>
        </w:tc>
        <w:tc>
          <w:tcPr>
            <w:tcW w:w="7438" w:type="dxa"/>
            <w:shd w:val="clear" w:color="auto" w:fill="auto"/>
            <w:tcMar>
              <w:top w:w="0" w:type="dxa"/>
              <w:left w:w="108" w:type="dxa"/>
              <w:bottom w:w="0" w:type="dxa"/>
              <w:right w:w="108" w:type="dxa"/>
            </w:tcMar>
            <w:vAlign w:val="center"/>
          </w:tcPr>
          <w:p w:rsidR="00A90197" w:rsidRPr="00D578DA" w:rsidRDefault="00A90197" w:rsidP="00D40B48">
            <w:pPr>
              <w:widowControl/>
              <w:spacing w:before="100" w:beforeAutospacing="1" w:after="100" w:afterAutospacing="1"/>
              <w:ind w:firstLine="480"/>
              <w:jc w:val="left"/>
              <w:rPr>
                <w:rFonts w:ascii="宋体" w:hAnsi="宋体" w:cs="宋体"/>
                <w:kern w:val="0"/>
                <w:sz w:val="24"/>
              </w:rPr>
            </w:pPr>
            <w:r w:rsidRPr="00D578DA">
              <w:rPr>
                <w:rFonts w:ascii="宋体" w:hAnsi="宋体" w:cs="宋体"/>
                <w:kern w:val="0"/>
                <w:sz w:val="24"/>
              </w:rPr>
              <w:t>1．撤离现场，移至新鲜空气处，吸氧。</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2．皮肤粘膜损伤，立即用2%的碳酸氢钠（NaHCO</w:t>
            </w:r>
            <w:r w:rsidRPr="00D578DA">
              <w:rPr>
                <w:rFonts w:ascii="宋体" w:hAnsi="宋体" w:cs="宋体"/>
                <w:kern w:val="0"/>
                <w:sz w:val="24"/>
                <w:vertAlign w:val="subscript"/>
              </w:rPr>
              <w:t>3</w:t>
            </w:r>
            <w:r w:rsidRPr="00D578DA">
              <w:rPr>
                <w:rFonts w:ascii="宋体" w:hAnsi="宋体" w:cs="宋体"/>
                <w:kern w:val="0"/>
                <w:sz w:val="24"/>
              </w:rPr>
              <w:t>）溶液或大量清水冲洗。</w:t>
            </w:r>
          </w:p>
          <w:p w:rsidR="00A90197" w:rsidRPr="00D578DA" w:rsidRDefault="00A90197" w:rsidP="00D40B48">
            <w:pPr>
              <w:widowControl/>
              <w:spacing w:before="100" w:beforeAutospacing="1" w:after="100" w:afterAutospacing="1"/>
              <w:jc w:val="left"/>
              <w:rPr>
                <w:rFonts w:ascii="宋体" w:hAnsi="宋体" w:cs="宋体"/>
                <w:kern w:val="0"/>
                <w:sz w:val="24"/>
              </w:rPr>
            </w:pPr>
            <w:r w:rsidRPr="00D578DA">
              <w:rPr>
                <w:rFonts w:ascii="宋体" w:hAnsi="宋体" w:cs="宋体"/>
                <w:kern w:val="0"/>
                <w:sz w:val="24"/>
              </w:rPr>
              <w:t>    3．立即与医疗急救单位联系抢救。</w:t>
            </w:r>
          </w:p>
        </w:tc>
      </w:tr>
    </w:tbl>
    <w:p w:rsidR="00A90197" w:rsidRPr="00D578DA" w:rsidRDefault="00A90197" w:rsidP="00A90197">
      <w:pPr>
        <w:widowControl/>
        <w:jc w:val="left"/>
        <w:rPr>
          <w:rFonts w:ascii="Simsun" w:hAnsi="Simsun" w:cs="宋体"/>
          <w:color w:val="000000"/>
          <w:kern w:val="0"/>
          <w:sz w:val="27"/>
          <w:szCs w:val="27"/>
        </w:rPr>
      </w:pPr>
      <w:r w:rsidRPr="00D578DA">
        <w:rPr>
          <w:rFonts w:ascii="Simsun" w:hAnsi="Simsun" w:cs="宋体"/>
          <w:color w:val="000000"/>
          <w:kern w:val="0"/>
          <w:sz w:val="27"/>
          <w:szCs w:val="27"/>
        </w:rPr>
        <w:t> </w:t>
      </w:r>
    </w:p>
    <w:p w:rsidR="00A90197" w:rsidRPr="00D578DA" w:rsidRDefault="00A90197" w:rsidP="00A90197">
      <w:pPr>
        <w:rPr>
          <w:rFonts w:hint="eastAsia"/>
        </w:rPr>
      </w:pPr>
    </w:p>
    <w:p w:rsidR="00A90197" w:rsidRPr="00A90197" w:rsidRDefault="00A90197" w:rsidP="00A90197">
      <w:pPr>
        <w:widowControl/>
        <w:spacing w:line="375" w:lineRule="atLeast"/>
        <w:ind w:firstLine="662"/>
        <w:jc w:val="left"/>
        <w:rPr>
          <w:rFonts w:hint="eastAsia"/>
        </w:rPr>
      </w:pPr>
    </w:p>
    <w:p w:rsidR="00053890" w:rsidRDefault="00053890"/>
    <w:sectPr w:rsidR="00053890" w:rsidSect="00A90197">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10" w:rsidRDefault="00E86210" w:rsidP="00A90197">
      <w:r>
        <w:separator/>
      </w:r>
    </w:p>
  </w:endnote>
  <w:endnote w:type="continuationSeparator" w:id="0">
    <w:p w:rsidR="00E86210" w:rsidRDefault="00E86210" w:rsidP="00A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10" w:rsidRDefault="00E86210" w:rsidP="00A90197">
      <w:r>
        <w:separator/>
      </w:r>
    </w:p>
  </w:footnote>
  <w:footnote w:type="continuationSeparator" w:id="0">
    <w:p w:rsidR="00E86210" w:rsidRDefault="00E86210" w:rsidP="00A90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97"/>
    <w:rsid w:val="00053890"/>
    <w:rsid w:val="00A90197"/>
    <w:rsid w:val="00E8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0197"/>
    <w:rPr>
      <w:b/>
      <w:bCs/>
    </w:rPr>
  </w:style>
  <w:style w:type="character" w:styleId="a4">
    <w:name w:val="Hyperlink"/>
    <w:basedOn w:val="a0"/>
    <w:uiPriority w:val="99"/>
    <w:semiHidden/>
    <w:unhideWhenUsed/>
    <w:rsid w:val="00A90197"/>
    <w:rPr>
      <w:color w:val="0000FF"/>
      <w:u w:val="single"/>
    </w:rPr>
  </w:style>
  <w:style w:type="paragraph" w:styleId="a5">
    <w:name w:val="header"/>
    <w:basedOn w:val="a"/>
    <w:link w:val="Char"/>
    <w:uiPriority w:val="99"/>
    <w:unhideWhenUsed/>
    <w:rsid w:val="00A90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197"/>
    <w:rPr>
      <w:sz w:val="18"/>
      <w:szCs w:val="18"/>
    </w:rPr>
  </w:style>
  <w:style w:type="paragraph" w:styleId="a6">
    <w:name w:val="footer"/>
    <w:basedOn w:val="a"/>
    <w:link w:val="Char0"/>
    <w:uiPriority w:val="99"/>
    <w:unhideWhenUsed/>
    <w:rsid w:val="00A90197"/>
    <w:pPr>
      <w:tabs>
        <w:tab w:val="center" w:pos="4153"/>
        <w:tab w:val="right" w:pos="8306"/>
      </w:tabs>
      <w:snapToGrid w:val="0"/>
      <w:jc w:val="left"/>
    </w:pPr>
    <w:rPr>
      <w:sz w:val="18"/>
      <w:szCs w:val="18"/>
    </w:rPr>
  </w:style>
  <w:style w:type="character" w:customStyle="1" w:styleId="Char0">
    <w:name w:val="页脚 Char"/>
    <w:basedOn w:val="a0"/>
    <w:link w:val="a6"/>
    <w:uiPriority w:val="99"/>
    <w:rsid w:val="00A901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0197"/>
    <w:rPr>
      <w:b/>
      <w:bCs/>
    </w:rPr>
  </w:style>
  <w:style w:type="character" w:styleId="a4">
    <w:name w:val="Hyperlink"/>
    <w:basedOn w:val="a0"/>
    <w:uiPriority w:val="99"/>
    <w:semiHidden/>
    <w:unhideWhenUsed/>
    <w:rsid w:val="00A90197"/>
    <w:rPr>
      <w:color w:val="0000FF"/>
      <w:u w:val="single"/>
    </w:rPr>
  </w:style>
  <w:style w:type="paragraph" w:styleId="a5">
    <w:name w:val="header"/>
    <w:basedOn w:val="a"/>
    <w:link w:val="Char"/>
    <w:uiPriority w:val="99"/>
    <w:unhideWhenUsed/>
    <w:rsid w:val="00A90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197"/>
    <w:rPr>
      <w:sz w:val="18"/>
      <w:szCs w:val="18"/>
    </w:rPr>
  </w:style>
  <w:style w:type="paragraph" w:styleId="a6">
    <w:name w:val="footer"/>
    <w:basedOn w:val="a"/>
    <w:link w:val="Char0"/>
    <w:uiPriority w:val="99"/>
    <w:unhideWhenUsed/>
    <w:rsid w:val="00A90197"/>
    <w:pPr>
      <w:tabs>
        <w:tab w:val="center" w:pos="4153"/>
        <w:tab w:val="right" w:pos="8306"/>
      </w:tabs>
      <w:snapToGrid w:val="0"/>
      <w:jc w:val="left"/>
    </w:pPr>
    <w:rPr>
      <w:sz w:val="18"/>
      <w:szCs w:val="18"/>
    </w:rPr>
  </w:style>
  <w:style w:type="character" w:customStyle="1" w:styleId="Char0">
    <w:name w:val="页脚 Char"/>
    <w:basedOn w:val="a0"/>
    <w:link w:val="a6"/>
    <w:uiPriority w:val="99"/>
    <w:rsid w:val="00A901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Contents/Channel_5916/2014/1121/243209/files_founder_2477022176/253085985.doc" TargetMode="External"/><Relationship Id="rId3" Type="http://schemas.openxmlformats.org/officeDocument/2006/relationships/settings" Target="settings.xml"/><Relationship Id="rId7" Type="http://schemas.openxmlformats.org/officeDocument/2006/relationships/hyperlink" Target="http://www.chinasafety.gov.cn/newpage/Contents/Channel_5916/2014/1121/243209/files_founder_2477022176/9398217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safety.gov.cn/newpage/Contents/Channel_5916/2014/1121/243209/files_founder_2477022176/2883331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2015-10-16T14:50:00Z</dcterms:created>
  <dcterms:modified xsi:type="dcterms:W3CDTF">2015-10-16T14:52:00Z</dcterms:modified>
</cp:coreProperties>
</file>